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73828"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625234bc86a7a3f1ddbd9443829c2b338ec93b644b67fe9195aba87ba20db4d7eb9cef08e8&amp;scene=126&amp;sessionid=17438728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