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丹参酮</w:t>
        </w:r>
        <w:r>
          <w:rPr>
            <w:rStyle w:val="a"/>
            <w:rFonts w:ascii="Times New Roman" w:eastAsia="Times New Roman" w:hAnsi="Times New Roman" w:cs="Times New Roman"/>
            <w:b w:val="0"/>
            <w:bCs w:val="0"/>
            <w:spacing w:val="8"/>
          </w:rPr>
          <w:t>IIA</w:t>
        </w:r>
        <w:r>
          <w:rPr>
            <w:rStyle w:val="a"/>
            <w:rFonts w:ascii="PMingLiU" w:eastAsia="PMingLiU" w:hAnsi="PMingLiU" w:cs="PMingLiU"/>
            <w:b w:val="0"/>
            <w:bCs w:val="0"/>
            <w:spacing w:val="8"/>
          </w:rPr>
          <w:t>研究遭质疑：第三军医大学团队论文被撤，问题出在哪？</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2025-04-04 23:53:00</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181375"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近日，发表在国际期刊《</w:t>
      </w:r>
      <w:r>
        <w:rPr>
          <w:rStyle w:val="any"/>
          <w:rFonts w:ascii="Times New Roman" w:eastAsia="Times New Roman" w:hAnsi="Times New Roman" w:cs="Times New Roman"/>
          <w:color w:val="3F3F3F"/>
          <w:spacing w:val="22"/>
        </w:rPr>
        <w:t>PLOS One</w:t>
      </w:r>
      <w:r>
        <w:rPr>
          <w:rStyle w:val="any"/>
          <w:rFonts w:ascii="PMingLiU" w:eastAsia="PMingLiU" w:hAnsi="PMingLiU" w:cs="PMingLiU"/>
          <w:color w:val="3F3F3F"/>
          <w:spacing w:val="22"/>
        </w:rPr>
        <w:t>》上的一篇研究论文《</w:t>
      </w:r>
      <w:r>
        <w:rPr>
          <w:rStyle w:val="any"/>
          <w:rFonts w:ascii="Times New Roman" w:eastAsia="Times New Roman" w:hAnsi="Times New Roman" w:cs="Times New Roman"/>
          <w:color w:val="3F3F3F"/>
          <w:spacing w:val="22"/>
        </w:rPr>
        <w:t>Tanshinone IIA inhibits HIF1α and VEGF expression in breast cancer cells via mTOR/p70S6K/RPS6/4EBP1 signaling pathway</w:t>
      </w:r>
      <w:r>
        <w:rPr>
          <w:rStyle w:val="any"/>
          <w:rFonts w:ascii="PMingLiU" w:eastAsia="PMingLiU" w:hAnsi="PMingLiU" w:cs="PMingLiU"/>
          <w:color w:val="3F3F3F"/>
          <w:spacing w:val="22"/>
        </w:rPr>
        <w:t>》（丹参酮</w:t>
      </w:r>
      <w:r>
        <w:rPr>
          <w:rStyle w:val="any"/>
          <w:rFonts w:ascii="Times New Roman" w:eastAsia="Times New Roman" w:hAnsi="Times New Roman" w:cs="Times New Roman"/>
          <w:color w:val="3F3F3F"/>
          <w:spacing w:val="22"/>
        </w:rPr>
        <w:t>IIA</w:t>
      </w:r>
      <w:r>
        <w:rPr>
          <w:rStyle w:val="any"/>
          <w:rFonts w:ascii="PMingLiU" w:eastAsia="PMingLiU" w:hAnsi="PMingLiU" w:cs="PMingLiU"/>
          <w:color w:val="3F3F3F"/>
          <w:spacing w:val="22"/>
        </w:rPr>
        <w:t>通过</w:t>
      </w:r>
      <w:r>
        <w:rPr>
          <w:rStyle w:val="any"/>
          <w:rFonts w:ascii="Times New Roman" w:eastAsia="Times New Roman" w:hAnsi="Times New Roman" w:cs="Times New Roman"/>
          <w:color w:val="3F3F3F"/>
          <w:spacing w:val="22"/>
        </w:rPr>
        <w:t>mTOR/p70S6K/RPS6/4EBP1</w:t>
      </w:r>
      <w:r>
        <w:rPr>
          <w:rStyle w:val="any"/>
          <w:rFonts w:ascii="PMingLiU" w:eastAsia="PMingLiU" w:hAnsi="PMingLiU" w:cs="PMingLiU"/>
          <w:color w:val="3F3F3F"/>
          <w:spacing w:val="22"/>
        </w:rPr>
        <w:t>信号通路抑制乳腺癌细胞中</w:t>
      </w:r>
      <w:r>
        <w:rPr>
          <w:rStyle w:val="any"/>
          <w:rFonts w:ascii="Times New Roman" w:eastAsia="Times New Roman" w:hAnsi="Times New Roman" w:cs="Times New Roman"/>
          <w:color w:val="3F3F3F"/>
          <w:spacing w:val="22"/>
        </w:rPr>
        <w:t>HIF1α</w:t>
      </w:r>
      <w:r>
        <w:rPr>
          <w:rStyle w:val="any"/>
          <w:rFonts w:ascii="PMingLiU" w:eastAsia="PMingLiU" w:hAnsi="PMingLiU" w:cs="PMingLiU"/>
          <w:color w:val="3F3F3F"/>
          <w:spacing w:val="22"/>
        </w:rPr>
        <w:t>和</w:t>
      </w:r>
      <w:r>
        <w:rPr>
          <w:rStyle w:val="any"/>
          <w:rFonts w:ascii="Times New Roman" w:eastAsia="Times New Roman" w:hAnsi="Times New Roman" w:cs="Times New Roman"/>
          <w:color w:val="3F3F3F"/>
          <w:spacing w:val="22"/>
        </w:rPr>
        <w:t>VEGF</w:t>
      </w:r>
      <w:r>
        <w:rPr>
          <w:rStyle w:val="any"/>
          <w:rFonts w:ascii="PMingLiU" w:eastAsia="PMingLiU" w:hAnsi="PMingLiU" w:cs="PMingLiU"/>
          <w:color w:val="3F3F3F"/>
          <w:spacing w:val="22"/>
        </w:rPr>
        <w:t>的表达，</w:t>
      </w:r>
      <w:r>
        <w:rPr>
          <w:rStyle w:val="any"/>
          <w:rFonts w:ascii="Times New Roman" w:eastAsia="Times New Roman" w:hAnsi="Times New Roman" w:cs="Times New Roman"/>
          <w:color w:val="3F3F3F"/>
          <w:spacing w:val="22"/>
        </w:rPr>
        <w:t>doi: 10.1371/journal.pone.0117440</w:t>
      </w:r>
      <w:r>
        <w:rPr>
          <w:rStyle w:val="any"/>
          <w:rFonts w:ascii="PMingLiU" w:eastAsia="PMingLiU" w:hAnsi="PMingLiU" w:cs="PMingLiU"/>
          <w:color w:val="3F3F3F"/>
          <w:spacing w:val="22"/>
        </w:rPr>
        <w:t>）因实验数据问题被撤回，引发学术界关注。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9959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01881" name=""/>
                    <pic:cNvPicPr>
                      <a:picLocks noChangeAspect="1"/>
                    </pic:cNvPicPr>
                  </pic:nvPicPr>
                  <pic:blipFill>
                    <a:blip xmlns:r="http://schemas.openxmlformats.org/officeDocument/2006/relationships" r:embed="rId7"/>
                    <a:stretch>
                      <a:fillRect/>
                    </a:stretch>
                  </pic:blipFill>
                  <pic:spPr>
                    <a:xfrm>
                      <a:off x="0" y="0"/>
                      <a:ext cx="5486400" cy="399592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27928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138891"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w:t>
      </w:r>
      <w:r>
        <w:rPr>
          <w:rStyle w:val="any"/>
          <w:rFonts w:ascii="Times New Roman" w:eastAsia="Times New Roman" w:hAnsi="Times New Roman" w:cs="Times New Roman"/>
          <w:color w:val="3F3F3F"/>
          <w:spacing w:val="22"/>
        </w:rPr>
        <w:t>Guobing Li</w:t>
      </w:r>
      <w:r>
        <w:rPr>
          <w:rStyle w:val="any"/>
          <w:rFonts w:ascii="PMingLiU" w:eastAsia="PMingLiU" w:hAnsi="PMingLiU" w:cs="PMingLiU"/>
          <w:color w:val="3F3F3F"/>
          <w:spacing w:val="22"/>
        </w:rPr>
        <w:t>）（第三军医大学药学院）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w:t>
      </w:r>
      <w:r>
        <w:rPr>
          <w:rStyle w:val="any"/>
          <w:rFonts w:ascii="Times New Roman" w:eastAsia="Times New Roman" w:hAnsi="Times New Roman" w:cs="Times New Roman"/>
          <w:color w:val="3F3F3F"/>
          <w:spacing w:val="22"/>
        </w:rPr>
        <w:t>Ning Gao</w:t>
      </w:r>
      <w:r>
        <w:rPr>
          <w:rStyle w:val="any"/>
          <w:rFonts w:ascii="PMingLiU" w:eastAsia="PMingLiU" w:hAnsi="PMingLiU" w:cs="PMingLiU"/>
          <w:color w:val="3F3F3F"/>
          <w:spacing w:val="22"/>
        </w:rPr>
        <w:t>）（第三军医大学药学院）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第一单位：第三军医大学药学院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601179"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69383"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3</w:t>
      </w:r>
      <w:r>
        <w:rPr>
          <w:rStyle w:val="any"/>
          <w:rFonts w:ascii="PMingLiU" w:eastAsia="PMingLiU" w:hAnsi="PMingLiU" w:cs="PMingLiU"/>
          <w:color w:val="3F3F3F"/>
          <w:spacing w:val="22"/>
        </w:rPr>
        <w:t>月，《</w:t>
      </w:r>
      <w:r>
        <w:rPr>
          <w:rStyle w:val="any"/>
          <w:rFonts w:ascii="Times New Roman" w:eastAsia="Times New Roman" w:hAnsi="Times New Roman" w:cs="Times New Roman"/>
          <w:color w:val="3F3F3F"/>
          <w:spacing w:val="22"/>
        </w:rPr>
        <w:t>PLOS One</w:t>
      </w:r>
      <w:r>
        <w:rPr>
          <w:rStyle w:val="any"/>
          <w:rFonts w:ascii="PMingLiU" w:eastAsia="PMingLiU" w:hAnsi="PMingLiU" w:cs="PMingLiU"/>
          <w:color w:val="3F3F3F"/>
          <w:spacing w:val="22"/>
        </w:rPr>
        <w:t>》期刊发布撤稿声明，指出该研究存在多项实验数据问题。以下是被质疑的具体内容：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1. Western blot</w:t>
      </w:r>
      <w:r>
        <w:rPr>
          <w:rStyle w:val="any"/>
          <w:rFonts w:ascii="PMingLiU" w:eastAsia="PMingLiU" w:hAnsi="PMingLiU" w:cs="PMingLiU"/>
          <w:color w:val="3F3F3F"/>
          <w:spacing w:val="22"/>
        </w:rPr>
        <w:t>数据重复或相似问题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1A</w:t>
      </w:r>
      <w:r>
        <w:rPr>
          <w:rStyle w:val="any"/>
          <w:rFonts w:ascii="PMingLiU" w:eastAsia="PMingLiU" w:hAnsi="PMingLiU" w:cs="PMingLiU"/>
          <w:color w:val="3F3F3F"/>
          <w:spacing w:val="22"/>
        </w:rPr>
        <w:t>中的</w:t>
      </w:r>
      <w:r>
        <w:rPr>
          <w:rStyle w:val="any"/>
          <w:rFonts w:ascii="Times New Roman" w:eastAsia="Times New Roman" w:hAnsi="Times New Roman" w:cs="Times New Roman"/>
          <w:color w:val="3F3F3F"/>
          <w:spacing w:val="22"/>
        </w:rPr>
        <w:t>NE HIF1β</w:t>
      </w:r>
      <w:r>
        <w:rPr>
          <w:rStyle w:val="any"/>
          <w:rFonts w:ascii="PMingLiU" w:eastAsia="PMingLiU" w:hAnsi="PMingLiU" w:cs="PMingLiU"/>
          <w:color w:val="3F3F3F"/>
          <w:spacing w:val="22"/>
        </w:rPr>
        <w:t>面板与</w:t>
      </w:r>
      <w:r>
        <w:rPr>
          <w:rStyle w:val="any"/>
          <w:rFonts w:ascii="Times New Roman" w:eastAsia="Times New Roman" w:hAnsi="Times New Roman" w:cs="Times New Roman"/>
          <w:color w:val="3F3F3F"/>
          <w:spacing w:val="22"/>
        </w:rPr>
        <w:t>WCE HIF1α</w:t>
      </w:r>
      <w:r>
        <w:rPr>
          <w:rStyle w:val="any"/>
          <w:rFonts w:ascii="PMingLiU" w:eastAsia="PMingLiU" w:hAnsi="PMingLiU" w:cs="PMingLiU"/>
          <w:color w:val="3F3F3F"/>
          <w:spacing w:val="22"/>
        </w:rPr>
        <w:t>面板内的泳道表现出高度相似。</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1B</w:t>
      </w:r>
      <w:r>
        <w:rPr>
          <w:rStyle w:val="any"/>
          <w:rFonts w:ascii="PMingLiU" w:eastAsia="PMingLiU" w:hAnsi="PMingLiU" w:cs="PMingLiU"/>
          <w:color w:val="3F3F3F"/>
          <w:spacing w:val="22"/>
        </w:rPr>
        <w:t>中的</w:t>
      </w:r>
      <w:r>
        <w:rPr>
          <w:rStyle w:val="any"/>
          <w:rFonts w:ascii="Times New Roman" w:eastAsia="Times New Roman" w:hAnsi="Times New Roman" w:cs="Times New Roman"/>
          <w:color w:val="3F3F3F"/>
          <w:spacing w:val="22"/>
        </w:rPr>
        <w:t>NE HIF1β</w:t>
      </w:r>
      <w:r>
        <w:rPr>
          <w:rStyle w:val="any"/>
          <w:rFonts w:ascii="PMingLiU" w:eastAsia="PMingLiU" w:hAnsi="PMingLiU" w:cs="PMingLiU"/>
          <w:color w:val="3F3F3F"/>
          <w:spacing w:val="22"/>
        </w:rPr>
        <w:t>面板与</w:t>
      </w:r>
      <w:r>
        <w:rPr>
          <w:rStyle w:val="any"/>
          <w:rFonts w:ascii="Times New Roman" w:eastAsia="Times New Roman" w:hAnsi="Times New Roman" w:cs="Times New Roman"/>
          <w:color w:val="3F3F3F"/>
          <w:spacing w:val="22"/>
        </w:rPr>
        <w:t>WCE HIF2α</w:t>
      </w:r>
      <w:r>
        <w:rPr>
          <w:rStyle w:val="any"/>
          <w:rFonts w:ascii="PMingLiU" w:eastAsia="PMingLiU" w:hAnsi="PMingLiU" w:cs="PMingLiU"/>
          <w:color w:val="3F3F3F"/>
          <w:spacing w:val="22"/>
        </w:rPr>
        <w:t>面板也存在泳道相似性。</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3B</w:t>
      </w:r>
      <w:r>
        <w:rPr>
          <w:rStyle w:val="any"/>
          <w:rFonts w:ascii="PMingLiU" w:eastAsia="PMingLiU" w:hAnsi="PMingLiU" w:cs="PMingLiU"/>
          <w:color w:val="3F3F3F"/>
          <w:spacing w:val="22"/>
        </w:rPr>
        <w:t>和图</w:t>
      </w:r>
      <w:r>
        <w:rPr>
          <w:rStyle w:val="any"/>
          <w:rFonts w:ascii="Times New Roman" w:eastAsia="Times New Roman" w:hAnsi="Times New Roman" w:cs="Times New Roman"/>
          <w:color w:val="3F3F3F"/>
          <w:spacing w:val="22"/>
        </w:rPr>
        <w:t>3C</w:t>
      </w:r>
      <w:r>
        <w:rPr>
          <w:rStyle w:val="any"/>
          <w:rFonts w:ascii="PMingLiU" w:eastAsia="PMingLiU" w:hAnsi="PMingLiU" w:cs="PMingLiU"/>
          <w:color w:val="3F3F3F"/>
          <w:spacing w:val="22"/>
        </w:rPr>
        <w:t>的</w:t>
      </w:r>
      <w:r>
        <w:rPr>
          <w:rStyle w:val="any"/>
          <w:rFonts w:ascii="Times New Roman" w:eastAsia="Times New Roman" w:hAnsi="Times New Roman" w:cs="Times New Roman"/>
          <w:color w:val="3F3F3F"/>
          <w:spacing w:val="22"/>
        </w:rPr>
        <w:t>[35S]HIF1α Normoxia</w:t>
      </w:r>
      <w:r>
        <w:rPr>
          <w:rStyle w:val="any"/>
          <w:rFonts w:ascii="PMingLiU" w:eastAsia="PMingLiU" w:hAnsi="PMingLiU" w:cs="PMingLiU"/>
          <w:color w:val="3F3F3F"/>
          <w:spacing w:val="22"/>
        </w:rPr>
        <w:t>面板内泳道相似。</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4A</w:t>
      </w:r>
      <w:r>
        <w:rPr>
          <w:rStyle w:val="any"/>
          <w:rFonts w:ascii="PMingLiU" w:eastAsia="PMingLiU" w:hAnsi="PMingLiU" w:cs="PMingLiU"/>
          <w:color w:val="3F3F3F"/>
          <w:spacing w:val="22"/>
        </w:rPr>
        <w:t>多个面板（包括</w:t>
      </w:r>
      <w:r>
        <w:rPr>
          <w:rStyle w:val="any"/>
          <w:rFonts w:ascii="Times New Roman" w:eastAsia="Times New Roman" w:hAnsi="Times New Roman" w:cs="Times New Roman"/>
          <w:color w:val="3F3F3F"/>
          <w:spacing w:val="22"/>
        </w:rPr>
        <w:t>mTOR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pp70S6K</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p4EBP1</w:t>
      </w:r>
      <w:r>
        <w:rPr>
          <w:rStyle w:val="any"/>
          <w:rFonts w:ascii="PMingLiU" w:eastAsia="PMingLiU" w:hAnsi="PMingLiU" w:cs="PMingLiU"/>
          <w:color w:val="3F3F3F"/>
          <w:spacing w:val="22"/>
        </w:rPr>
        <w:t>等）均存在泳道异常相似的现象。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4B</w:t>
      </w:r>
      <w:r>
        <w:rPr>
          <w:rStyle w:val="any"/>
          <w:rFonts w:ascii="PMingLiU" w:eastAsia="PMingLiU" w:hAnsi="PMingLiU" w:cs="PMingLiU"/>
          <w:color w:val="3F3F3F"/>
          <w:spacing w:val="22"/>
        </w:rPr>
        <w:t>中的</w:t>
      </w:r>
      <w:r>
        <w:rPr>
          <w:rStyle w:val="any"/>
          <w:rFonts w:ascii="Times New Roman" w:eastAsia="Times New Roman" w:hAnsi="Times New Roman" w:cs="Times New Roman"/>
          <w:color w:val="3F3F3F"/>
          <w:spacing w:val="22"/>
        </w:rPr>
        <w:t>pmTOR</w:t>
      </w:r>
      <w:r>
        <w:rPr>
          <w:rStyle w:val="any"/>
          <w:rFonts w:ascii="PMingLiU" w:eastAsia="PMingLiU" w:hAnsi="PMingLiU" w:cs="PMingLiU"/>
          <w:color w:val="3F3F3F"/>
          <w:spacing w:val="22"/>
        </w:rPr>
        <w:t>和</w:t>
      </w:r>
      <w:r>
        <w:rPr>
          <w:rStyle w:val="any"/>
          <w:rFonts w:ascii="Times New Roman" w:eastAsia="Times New Roman" w:hAnsi="Times New Roman" w:cs="Times New Roman"/>
          <w:color w:val="3F3F3F"/>
          <w:spacing w:val="22"/>
        </w:rPr>
        <w:t>βactin</w:t>
      </w:r>
      <w:r>
        <w:rPr>
          <w:rStyle w:val="any"/>
          <w:rFonts w:ascii="PMingLiU" w:eastAsia="PMingLiU" w:hAnsi="PMingLiU" w:cs="PMingLiU"/>
          <w:color w:val="3F3F3F"/>
          <w:spacing w:val="22"/>
        </w:rPr>
        <w:t>面板中出现了垂直不连续的痕迹。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2. </w:t>
      </w:r>
      <w:r>
        <w:rPr>
          <w:rStyle w:val="any"/>
          <w:rFonts w:ascii="PMingLiU" w:eastAsia="PMingLiU" w:hAnsi="PMingLiU" w:cs="PMingLiU"/>
          <w:color w:val="3F3F3F"/>
          <w:spacing w:val="22"/>
        </w:rPr>
        <w:t>不同实验条件下数据高度相似</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1A</w:t>
      </w:r>
      <w:r>
        <w:rPr>
          <w:rStyle w:val="any"/>
          <w:rFonts w:ascii="PMingLiU" w:eastAsia="PMingLiU" w:hAnsi="PMingLiU" w:cs="PMingLiU"/>
          <w:color w:val="3F3F3F"/>
          <w:spacing w:val="22"/>
        </w:rPr>
        <w:t>的</w:t>
      </w:r>
      <w:r>
        <w:rPr>
          <w:rStyle w:val="any"/>
          <w:rFonts w:ascii="Times New Roman" w:eastAsia="Times New Roman" w:hAnsi="Times New Roman" w:cs="Times New Roman"/>
          <w:color w:val="3F3F3F"/>
          <w:spacing w:val="22"/>
        </w:rPr>
        <w:t>NE HIF1α</w:t>
      </w:r>
      <w:r>
        <w:rPr>
          <w:rStyle w:val="any"/>
          <w:rFonts w:ascii="PMingLiU" w:eastAsia="PMingLiU" w:hAnsi="PMingLiU" w:cs="PMingLiU"/>
          <w:color w:val="3F3F3F"/>
          <w:spacing w:val="22"/>
        </w:rPr>
        <w:t>面板与图</w:t>
      </w:r>
      <w:r>
        <w:rPr>
          <w:rStyle w:val="any"/>
          <w:rFonts w:ascii="Times New Roman" w:eastAsia="Times New Roman" w:hAnsi="Times New Roman" w:cs="Times New Roman"/>
          <w:color w:val="3F3F3F"/>
          <w:spacing w:val="22"/>
        </w:rPr>
        <w:t>1B</w:t>
      </w:r>
      <w:r>
        <w:rPr>
          <w:rStyle w:val="any"/>
          <w:rFonts w:ascii="PMingLiU" w:eastAsia="PMingLiU" w:hAnsi="PMingLiU" w:cs="PMingLiU"/>
          <w:color w:val="3F3F3F"/>
          <w:spacing w:val="22"/>
        </w:rPr>
        <w:t>的</w:t>
      </w:r>
      <w:r>
        <w:rPr>
          <w:rStyle w:val="any"/>
          <w:rFonts w:ascii="Times New Roman" w:eastAsia="Times New Roman" w:hAnsi="Times New Roman" w:cs="Times New Roman"/>
          <w:color w:val="3F3F3F"/>
          <w:spacing w:val="22"/>
        </w:rPr>
        <w:t>NE HIF1α</w:t>
      </w:r>
      <w:r>
        <w:rPr>
          <w:rStyle w:val="any"/>
          <w:rFonts w:ascii="PMingLiU" w:eastAsia="PMingLiU" w:hAnsi="PMingLiU" w:cs="PMingLiU"/>
          <w:color w:val="3F3F3F"/>
          <w:spacing w:val="22"/>
        </w:rPr>
        <w:t>面板高度相似，尽管它们应代表不同的实验条件。</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1B</w:t>
      </w:r>
      <w:r>
        <w:rPr>
          <w:rStyle w:val="any"/>
          <w:rFonts w:ascii="PMingLiU" w:eastAsia="PMingLiU" w:hAnsi="PMingLiU" w:cs="PMingLiU"/>
          <w:color w:val="3F3F3F"/>
          <w:spacing w:val="22"/>
        </w:rPr>
        <w:t>中</w:t>
      </w:r>
      <w:r>
        <w:rPr>
          <w:rStyle w:val="any"/>
          <w:rFonts w:ascii="Times New Roman" w:eastAsia="Times New Roman" w:hAnsi="Times New Roman" w:cs="Times New Roman"/>
          <w:color w:val="3F3F3F"/>
          <w:spacing w:val="22"/>
        </w:rPr>
        <w:t>WCE HIF1α</w:t>
      </w:r>
      <w:r>
        <w:rPr>
          <w:rStyle w:val="any"/>
          <w:rFonts w:ascii="PMingLiU" w:eastAsia="PMingLiU" w:hAnsi="PMingLiU" w:cs="PMingLiU"/>
          <w:color w:val="3F3F3F"/>
          <w:spacing w:val="22"/>
        </w:rPr>
        <w:t>的第</w:t>
      </w:r>
      <w:r>
        <w:rPr>
          <w:rStyle w:val="any"/>
          <w:rFonts w:ascii="Times New Roman" w:eastAsia="Times New Roman" w:hAnsi="Times New Roman" w:cs="Times New Roman"/>
          <w:color w:val="3F3F3F"/>
          <w:spacing w:val="22"/>
        </w:rPr>
        <w:t>810</w:t>
      </w:r>
      <w:r>
        <w:rPr>
          <w:rStyle w:val="any"/>
          <w:rFonts w:ascii="PMingLiU" w:eastAsia="PMingLiU" w:hAnsi="PMingLiU" w:cs="PMingLiU"/>
          <w:color w:val="3F3F3F"/>
          <w:spacing w:val="22"/>
        </w:rPr>
        <w:t>泳道与图</w:t>
      </w:r>
      <w:r>
        <w:rPr>
          <w:rStyle w:val="any"/>
          <w:rFonts w:ascii="Times New Roman" w:eastAsia="Times New Roman" w:hAnsi="Times New Roman" w:cs="Times New Roman"/>
          <w:color w:val="3F3F3F"/>
          <w:spacing w:val="22"/>
        </w:rPr>
        <w:t>3B</w:t>
      </w:r>
      <w:r>
        <w:rPr>
          <w:rStyle w:val="any"/>
          <w:rFonts w:ascii="PMingLiU" w:eastAsia="PMingLiU" w:hAnsi="PMingLiU" w:cs="PMingLiU"/>
          <w:color w:val="3F3F3F"/>
          <w:spacing w:val="22"/>
        </w:rPr>
        <w:t>中</w:t>
      </w:r>
      <w:r>
        <w:rPr>
          <w:rStyle w:val="any"/>
          <w:rFonts w:ascii="Times New Roman" w:eastAsia="Times New Roman" w:hAnsi="Times New Roman" w:cs="Times New Roman"/>
          <w:color w:val="3F3F3F"/>
          <w:spacing w:val="22"/>
        </w:rPr>
        <w:t>[35S]HIF1α Normoxia</w:t>
      </w:r>
      <w:r>
        <w:rPr>
          <w:rStyle w:val="any"/>
          <w:rFonts w:ascii="PMingLiU" w:eastAsia="PMingLiU" w:hAnsi="PMingLiU" w:cs="PMingLiU"/>
          <w:color w:val="3F3F3F"/>
          <w:spacing w:val="22"/>
        </w:rPr>
        <w:t>的第</w:t>
      </w:r>
      <w:r>
        <w:rPr>
          <w:rStyle w:val="any"/>
          <w:rFonts w:ascii="Times New Roman" w:eastAsia="Times New Roman" w:hAnsi="Times New Roman" w:cs="Times New Roman"/>
          <w:color w:val="3F3F3F"/>
          <w:spacing w:val="22"/>
        </w:rPr>
        <w:t>46</w:t>
      </w:r>
      <w:r>
        <w:rPr>
          <w:rStyle w:val="any"/>
          <w:rFonts w:ascii="PMingLiU" w:eastAsia="PMingLiU" w:hAnsi="PMingLiU" w:cs="PMingLiU"/>
          <w:color w:val="3F3F3F"/>
          <w:spacing w:val="22"/>
        </w:rPr>
        <w:t>泳道数据相似。</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3. </w:t>
      </w:r>
      <w:r>
        <w:rPr>
          <w:rStyle w:val="any"/>
          <w:rFonts w:ascii="PMingLiU" w:eastAsia="PMingLiU" w:hAnsi="PMingLiU" w:cs="PMingLiU"/>
          <w:color w:val="3F3F3F"/>
          <w:spacing w:val="22"/>
        </w:rPr>
        <w:t>伦理问题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研究中使用的小鼠肿瘤体积（见图</w:t>
      </w:r>
      <w:r>
        <w:rPr>
          <w:rStyle w:val="any"/>
          <w:rFonts w:ascii="Times New Roman" w:eastAsia="Times New Roman" w:hAnsi="Times New Roman" w:cs="Times New Roman"/>
          <w:color w:val="3F3F3F"/>
          <w:spacing w:val="22"/>
        </w:rPr>
        <w:t>5A</w:t>
      </w:r>
      <w:r>
        <w:rPr>
          <w:rStyle w:val="any"/>
          <w:rFonts w:ascii="PMingLiU" w:eastAsia="PMingLiU" w:hAnsi="PMingLiU" w:cs="PMingLiU"/>
          <w:color w:val="3F3F3F"/>
          <w:spacing w:val="22"/>
        </w:rPr>
        <w:t>和图</w:t>
      </w:r>
      <w:r>
        <w:rPr>
          <w:rStyle w:val="any"/>
          <w:rFonts w:ascii="Times New Roman" w:eastAsia="Times New Roman" w:hAnsi="Times New Roman" w:cs="Times New Roman"/>
          <w:color w:val="3F3F3F"/>
          <w:spacing w:val="22"/>
        </w:rPr>
        <w:t>5C</w:t>
      </w:r>
      <w:r>
        <w:rPr>
          <w:rStyle w:val="any"/>
          <w:rFonts w:ascii="PMingLiU" w:eastAsia="PMingLiU" w:hAnsi="PMingLiU" w:cs="PMingLiU"/>
          <w:color w:val="3F3F3F"/>
          <w:spacing w:val="22"/>
        </w:rPr>
        <w:t>）超出了国际公认的动物福利标准。尽管通讯作者表示在研究发表时中国尚未对小鼠肿瘤体积设定明确的伦理规范，但这一问题仍引发争议。</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155796"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45157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通讯作者宁</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高（</w:t>
      </w:r>
      <w:r>
        <w:rPr>
          <w:rStyle w:val="any"/>
          <w:rFonts w:ascii="Times New Roman" w:eastAsia="Times New Roman" w:hAnsi="Times New Roman" w:cs="Times New Roman"/>
          <w:color w:val="3F3F3F"/>
          <w:spacing w:val="22"/>
        </w:rPr>
        <w:t>Ning Gao</w:t>
      </w:r>
      <w:r>
        <w:rPr>
          <w:rStyle w:val="any"/>
          <w:rFonts w:ascii="PMingLiU" w:eastAsia="PMingLiU" w:hAnsi="PMingLiU" w:cs="PMingLiU"/>
          <w:color w:val="3F3F3F"/>
          <w:spacing w:val="22"/>
        </w:rPr>
        <w:t>）表示，虽然</w:t>
      </w:r>
      <w:r>
        <w:rPr>
          <w:rStyle w:val="any"/>
          <w:rFonts w:ascii="Times New Roman" w:eastAsia="Times New Roman" w:hAnsi="Times New Roman" w:cs="Times New Roman"/>
          <w:color w:val="3F3F3F"/>
          <w:spacing w:val="22"/>
        </w:rPr>
        <w:t>Western blot</w:t>
      </w:r>
      <w:r>
        <w:rPr>
          <w:rStyle w:val="any"/>
          <w:rFonts w:ascii="PMingLiU" w:eastAsia="PMingLiU" w:hAnsi="PMingLiU" w:cs="PMingLiU"/>
          <w:color w:val="3F3F3F"/>
          <w:spacing w:val="22"/>
        </w:rPr>
        <w:t>面板不存在拼接，但承认图</w:t>
      </w:r>
      <w:r>
        <w:rPr>
          <w:rStyle w:val="any"/>
          <w:rFonts w:ascii="Times New Roman" w:eastAsia="Times New Roman" w:hAnsi="Times New Roman" w:cs="Times New Roman"/>
          <w:color w:val="3F3F3F"/>
          <w:spacing w:val="22"/>
        </w:rPr>
        <w:t>1B</w:t>
      </w:r>
      <w:r>
        <w:rPr>
          <w:rStyle w:val="any"/>
          <w:rFonts w:ascii="PMingLiU" w:eastAsia="PMingLiU" w:hAnsi="PMingLiU" w:cs="PMingLiU"/>
          <w:color w:val="3F3F3F"/>
          <w:spacing w:val="22"/>
        </w:rPr>
        <w:t>的</w:t>
      </w:r>
      <w:r>
        <w:rPr>
          <w:rStyle w:val="any"/>
          <w:rFonts w:ascii="Times New Roman" w:eastAsia="Times New Roman" w:hAnsi="Times New Roman" w:cs="Times New Roman"/>
          <w:color w:val="3F3F3F"/>
          <w:spacing w:val="22"/>
        </w:rPr>
        <w:t>NE HIF1α</w:t>
      </w:r>
      <w:r>
        <w:rPr>
          <w:rStyle w:val="any"/>
          <w:rFonts w:ascii="PMingLiU" w:eastAsia="PMingLiU" w:hAnsi="PMingLiU" w:cs="PMingLiU"/>
          <w:color w:val="3F3F3F"/>
          <w:spacing w:val="22"/>
        </w:rPr>
        <w:t>面板在制图时出现错误，并已经提供了替换图像。然而，由于大部分原始</w:t>
      </w:r>
      <w:r>
        <w:rPr>
          <w:rStyle w:val="any"/>
          <w:rFonts w:ascii="Times New Roman" w:eastAsia="Times New Roman" w:hAnsi="Times New Roman" w:cs="Times New Roman"/>
          <w:color w:val="3F3F3F"/>
          <w:spacing w:val="22"/>
        </w:rPr>
        <w:t>Western blot</w:t>
      </w:r>
      <w:r>
        <w:rPr>
          <w:rStyle w:val="any"/>
          <w:rFonts w:ascii="PMingLiU" w:eastAsia="PMingLiU" w:hAnsi="PMingLiU" w:cs="PMingLiU"/>
          <w:color w:val="3F3F3F"/>
          <w:spacing w:val="22"/>
        </w:rPr>
        <w:t>数据已丢失，导致质疑无法进一步核实。</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同时，针对小鼠实验的伦理问题，通讯作者解释称研究开展时尚无明确的国内规范，但该解释未能完全平息争议。</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尽管通讯作者宁</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高通知期刊，所有作者均不同意撤稿，但《</w:t>
      </w:r>
      <w:r>
        <w:rPr>
          <w:rStyle w:val="any"/>
          <w:rFonts w:ascii="Times New Roman" w:eastAsia="Times New Roman" w:hAnsi="Times New Roman" w:cs="Times New Roman"/>
          <w:color w:val="3F3F3F"/>
          <w:spacing w:val="22"/>
        </w:rPr>
        <w:t>PLOS One</w:t>
      </w:r>
      <w:r>
        <w:rPr>
          <w:rStyle w:val="any"/>
          <w:rFonts w:ascii="PMingLiU" w:eastAsia="PMingLiU" w:hAnsi="PMingLiU" w:cs="PMingLiU"/>
          <w:color w:val="3F3F3F"/>
          <w:spacing w:val="22"/>
        </w:rPr>
        <w:t>》编辑部在综合考虑上述未解决问题后，仍决定撤回该论文。</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值得注意的是，论文中的其他作者，包括郭兵</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李（</w:t>
      </w:r>
      <w:r>
        <w:rPr>
          <w:rStyle w:val="any"/>
          <w:rFonts w:ascii="Times New Roman" w:eastAsia="Times New Roman" w:hAnsi="Times New Roman" w:cs="Times New Roman"/>
          <w:color w:val="3F3F3F"/>
          <w:spacing w:val="22"/>
        </w:rPr>
        <w:t>Guobing Li</w:t>
      </w:r>
      <w:r>
        <w:rPr>
          <w:rStyle w:val="any"/>
          <w:rFonts w:ascii="PMingLiU" w:eastAsia="PMingLiU" w:hAnsi="PMingLiU" w:cs="PMingLiU"/>
          <w:color w:val="3F3F3F"/>
          <w:spacing w:val="22"/>
        </w:rPr>
        <w:t>）、昌宇</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单（</w:t>
      </w:r>
      <w:r>
        <w:rPr>
          <w:rStyle w:val="any"/>
          <w:rFonts w:ascii="Times New Roman" w:eastAsia="Times New Roman" w:hAnsi="Times New Roman" w:cs="Times New Roman"/>
          <w:color w:val="3F3F3F"/>
          <w:spacing w:val="22"/>
        </w:rPr>
        <w:t>Changyu Shan</w:t>
      </w:r>
      <w:r>
        <w:rPr>
          <w:rStyle w:val="any"/>
          <w:rFonts w:ascii="PMingLiU" w:eastAsia="PMingLiU" w:hAnsi="PMingLiU" w:cs="PMingLiU"/>
          <w:color w:val="3F3F3F"/>
          <w:spacing w:val="22"/>
        </w:rPr>
        <w:t>）、磊</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刘（</w:t>
      </w:r>
      <w:r>
        <w:rPr>
          <w:rStyle w:val="any"/>
          <w:rFonts w:ascii="Times New Roman" w:eastAsia="Times New Roman" w:hAnsi="Times New Roman" w:cs="Times New Roman"/>
          <w:color w:val="3F3F3F"/>
          <w:spacing w:val="22"/>
        </w:rPr>
        <w:t>Lei Liu</w:t>
      </w:r>
      <w:r>
        <w:rPr>
          <w:rStyle w:val="any"/>
          <w:rFonts w:ascii="PMingLiU" w:eastAsia="PMingLiU" w:hAnsi="PMingLiU" w:cs="PMingLiU"/>
          <w:color w:val="3F3F3F"/>
          <w:spacing w:val="22"/>
        </w:rPr>
        <w:t>）、婷</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周（</w:t>
      </w:r>
      <w:r>
        <w:rPr>
          <w:rStyle w:val="any"/>
          <w:rFonts w:ascii="Times New Roman" w:eastAsia="Times New Roman" w:hAnsi="Times New Roman" w:cs="Times New Roman"/>
          <w:color w:val="3F3F3F"/>
          <w:spacing w:val="22"/>
        </w:rPr>
        <w:t>Ting Zhou</w:t>
      </w:r>
      <w:r>
        <w:rPr>
          <w:rStyle w:val="any"/>
          <w:rFonts w:ascii="PMingLiU" w:eastAsia="PMingLiU" w:hAnsi="PMingLiU" w:cs="PMingLiU"/>
          <w:color w:val="3F3F3F"/>
          <w:spacing w:val="22"/>
        </w:rPr>
        <w:t>）、静</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周（</w:t>
      </w:r>
      <w:r>
        <w:rPr>
          <w:rStyle w:val="any"/>
          <w:rFonts w:ascii="Times New Roman" w:eastAsia="Times New Roman" w:hAnsi="Times New Roman" w:cs="Times New Roman"/>
          <w:color w:val="3F3F3F"/>
          <w:spacing w:val="22"/>
        </w:rPr>
        <w:t>Jing Zhou</w:t>
      </w:r>
      <w:r>
        <w:rPr>
          <w:rStyle w:val="any"/>
          <w:rFonts w:ascii="PMingLiU" w:eastAsia="PMingLiU" w:hAnsi="PMingLiU" w:cs="PMingLiU"/>
          <w:color w:val="3F3F3F"/>
          <w:spacing w:val="22"/>
        </w:rPr>
        <w:t>）、晓叶</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胡（</w:t>
      </w:r>
      <w:r>
        <w:rPr>
          <w:rStyle w:val="any"/>
          <w:rFonts w:ascii="Times New Roman" w:eastAsia="Times New Roman" w:hAnsi="Times New Roman" w:cs="Times New Roman"/>
          <w:color w:val="3F3F3F"/>
          <w:spacing w:val="22"/>
        </w:rPr>
        <w:t>Xiaoye Hu</w:t>
      </w:r>
      <w:r>
        <w:rPr>
          <w:rStyle w:val="any"/>
          <w:rFonts w:ascii="PMingLiU" w:eastAsia="PMingLiU" w:hAnsi="PMingLiU" w:cs="PMingLiU"/>
          <w:color w:val="3F3F3F"/>
          <w:spacing w:val="22"/>
        </w:rPr>
        <w:t>）、义彪</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陈（</w:t>
      </w:r>
      <w:r>
        <w:rPr>
          <w:rStyle w:val="any"/>
          <w:rFonts w:ascii="Times New Roman" w:eastAsia="Times New Roman" w:hAnsi="Times New Roman" w:cs="Times New Roman"/>
          <w:color w:val="3F3F3F"/>
          <w:spacing w:val="22"/>
        </w:rPr>
        <w:t>Yibiao Chen</w:t>
      </w:r>
      <w:r>
        <w:rPr>
          <w:rStyle w:val="any"/>
          <w:rFonts w:ascii="PMingLiU" w:eastAsia="PMingLiU" w:hAnsi="PMingLiU" w:cs="PMingLiU"/>
          <w:color w:val="3F3F3F"/>
          <w:spacing w:val="22"/>
        </w:rPr>
        <w:t>）和红娟</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崔（</w:t>
      </w:r>
      <w:r>
        <w:rPr>
          <w:rStyle w:val="any"/>
          <w:rFonts w:ascii="Times New Roman" w:eastAsia="Times New Roman" w:hAnsi="Times New Roman" w:cs="Times New Roman"/>
          <w:color w:val="3F3F3F"/>
          <w:spacing w:val="22"/>
        </w:rPr>
        <w:t>Hongjuan Cui</w:t>
      </w:r>
      <w:r>
        <w:rPr>
          <w:rStyle w:val="any"/>
          <w:rFonts w:ascii="PMingLiU" w:eastAsia="PMingLiU" w:hAnsi="PMingLiU" w:cs="PMingLiU"/>
          <w:color w:val="3F3F3F"/>
          <w:spacing w:val="22"/>
        </w:rPr>
        <w:t>），要么未直接作出回应，要么目前无法联系上。</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https://pubpeer.com/publications/2FA4C0702144592835CE205C7E63D4#1</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w:t>
      </w:r>
      <w:r>
        <w:rPr>
          <w:rStyle w:val="any"/>
          <w:rFonts w:ascii="Times New Roman" w:eastAsia="Times New Roman" w:hAnsi="Times New Roman" w:cs="Times New Roman"/>
          <w:b/>
          <w:bCs/>
          <w:color w:val="3F3F3F"/>
          <w:spacing w:val="22"/>
        </w:rPr>
        <w:t>QQ</w:t>
      </w:r>
      <w:r>
        <w:rPr>
          <w:rStyle w:val="any"/>
          <w:rFonts w:ascii="PMingLiU" w:eastAsia="PMingLiU" w:hAnsi="PMingLiU" w:cs="PMingLiU"/>
          <w:b/>
          <w:bCs/>
          <w:color w:val="3F3F3F"/>
          <w:spacing w:val="22"/>
        </w:rPr>
        <w:t>账号：</w:t>
      </w:r>
      <w:r>
        <w:rPr>
          <w:rStyle w:val="any"/>
          <w:rFonts w:ascii="Times New Roman" w:eastAsia="Times New Roman" w:hAnsi="Times New Roman" w:cs="Times New Roman"/>
          <w:b/>
          <w:bCs/>
          <w:color w:val="3F3F3F"/>
          <w:spacing w:val="22"/>
        </w:rPr>
        <w:t>3970604145</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208543"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199&amp;idx=1&amp;sn=4c0a1c5733ed6782f10253de5edf786e&amp;chksm=826d6ce2742ab43dd693a4f78b0e962ecc85d4fbc7846e85e4c186ef783a5798e6eb24590040&amp;scene=126&amp;sessionid=174387194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