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山东大学信息科学与工程学院研究遭质疑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14:10:42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山东大学信息科学与工程学院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Alloys and Compounds》（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2019年6月）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“Study the relation between band gap value and lattice constant of MgTi2O4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10.1016/j.jallcom.2019.02.261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Yujun Shi ,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 Jie Lian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（通讯作者，音译连洁）  , Wei Hu , Yuxiang Liu , Ge He , Kui Jin , Haonan Song , Kai Dai , Jiaxiong Fang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208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017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该研究得到了国家重点基础研究计划（编号：2015CB921003）和山东省重点研发计划（编号：2017GGX201008）的支持。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438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97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8052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469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0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https://pubpeer.com/publications/EF012AF3D57B3169932F839B0CBF57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83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15&amp;idx=1&amp;sn=f0382ae8b250a607bd0d32494f2409ff&amp;chksm=c21659ea2d5aba9a92fae7374bad85d979ad6116a6bf6354a8efafc7f0711c81e73e2e13b02f&amp;scene=126&amp;sessionid=17438731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