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山东大学齐鲁医院病理科主任多年前论文现多图重复，误用之说难服众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23:40:43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894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91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2015年，来自山东大学齐鲁医院病理科的 Hai-Ting Liu , Ai-Yan Xing , Xu Chen , Ran-Ran Ma , Ya-Wen Wang , Duan-Bo Shi , Hui Zhang , Peng Li , Hong-Fang Chen , Yu-Hong Li , Peng Gao （通讯作者、齐鲁医院病理科主任、山东大学基础医学院副院长）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MicroRNA-27b, microRNA-101 and microRNA-128 inhibit angiogenesis by down-regulating vascular endothelial growth factor C expression in gastric cancers 的论文。该研究得到了中国国家自然科学基金（项目编号：81172351）或中国教育部新世纪优秀人才支持计划（NCET-12-0335）的支持。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6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2025年4月，Brachypodium retusum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44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66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https://pubpeer.com/publications/03DFB5E4D6C6C65C3D756B727DB520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63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547&amp;idx=1&amp;sn=b41c74a9c36dd0cfd66fe41b26ea2a47&amp;chksm=c0dab4193f1ec79f69224b2f121d824aa0ab41fb38e52f5321ab09d0550d8f94b36eaed42dcc&amp;scene=126&amp;sessionid=17438726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