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2057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50276"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71440"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96785"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33001"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10846"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49144"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6ab1d70ba381c85deb03456712779845b06a909e6f6be29bf7f8d94870922d4d9f7a053dd5&amp;scene=126&amp;sessionid=174387242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