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长征医院骨科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论文因图像问题引发质疑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11:22:05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近日，发表于《美国国家科学院院刊》（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Proceedings of the National Academy of Sciences of the United States of America</w:t>
      </w:r>
      <w:r>
        <w:rPr>
          <w:rStyle w:val="any"/>
          <w:rFonts w:ascii="PMingLiU" w:eastAsia="PMingLiU" w:hAnsi="PMingLiU" w:cs="PMingLiU"/>
          <w:i/>
          <w:iCs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）的论文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"Dancr-BRG1 regulates Nfatc1 transcription and Pgc1β-dependent metabolic shifts in osteoclastogenesis"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因图像重复问题遭到质疑。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该论文由张铮（</w:t>
      </w:r>
      <w:r>
        <w:rPr>
          <w:rStyle w:val="any"/>
          <w:rFonts w:ascii="Times New Roman" w:eastAsia="Times New Roman" w:hAnsi="Times New Roman" w:cs="Times New Roman"/>
          <w:spacing w:val="8"/>
        </w:rPr>
        <w:t>Zheng Zhang</w:t>
      </w:r>
      <w:r>
        <w:rPr>
          <w:rStyle w:val="any"/>
          <w:rFonts w:ascii="PMingLiU" w:eastAsia="PMingLiU" w:hAnsi="PMingLiU" w:cs="PMingLiU"/>
          <w:spacing w:val="8"/>
        </w:rPr>
        <w:t>）、孟奕晨（</w:t>
      </w:r>
      <w:r>
        <w:rPr>
          <w:rStyle w:val="any"/>
          <w:rFonts w:ascii="Times New Roman" w:eastAsia="Times New Roman" w:hAnsi="Times New Roman" w:cs="Times New Roman"/>
          <w:spacing w:val="8"/>
        </w:rPr>
        <w:t>Yichen Meng</w:t>
      </w:r>
      <w:r>
        <w:rPr>
          <w:rStyle w:val="any"/>
          <w:rFonts w:ascii="PMingLiU" w:eastAsia="PMingLiU" w:hAnsi="PMingLiU" w:cs="PMingLiU"/>
          <w:spacing w:val="8"/>
        </w:rPr>
        <w:t>）、林涛（</w:t>
      </w:r>
      <w:r>
        <w:rPr>
          <w:rStyle w:val="any"/>
          <w:rFonts w:ascii="Times New Roman" w:eastAsia="Times New Roman" w:hAnsi="Times New Roman" w:cs="Times New Roman"/>
          <w:spacing w:val="8"/>
        </w:rPr>
        <w:t>Tao Lin</w:t>
      </w:r>
      <w:r>
        <w:rPr>
          <w:rStyle w:val="any"/>
          <w:rFonts w:ascii="PMingLiU" w:eastAsia="PMingLiU" w:hAnsi="PMingLiU" w:cs="PMingLiU"/>
          <w:spacing w:val="8"/>
        </w:rPr>
        <w:t>）、张占荣（</w:t>
      </w:r>
      <w:r>
        <w:rPr>
          <w:rStyle w:val="any"/>
          <w:rFonts w:ascii="Times New Roman" w:eastAsia="Times New Roman" w:hAnsi="Times New Roman" w:cs="Times New Roman"/>
          <w:spacing w:val="8"/>
        </w:rPr>
        <w:t>Zhanrong Zhang</w:t>
      </w:r>
      <w:r>
        <w:rPr>
          <w:rStyle w:val="any"/>
          <w:rFonts w:ascii="PMingLiU" w:eastAsia="PMingLiU" w:hAnsi="PMingLiU" w:cs="PMingLiU"/>
          <w:spacing w:val="8"/>
        </w:rPr>
        <w:t>）、陶正波（</w:t>
      </w:r>
      <w:r>
        <w:rPr>
          <w:rStyle w:val="any"/>
          <w:rFonts w:ascii="Times New Roman" w:eastAsia="Times New Roman" w:hAnsi="Times New Roman" w:cs="Times New Roman"/>
          <w:spacing w:val="8"/>
        </w:rPr>
        <w:t>Zhengbo Tao</w:t>
      </w:r>
      <w:r>
        <w:rPr>
          <w:rStyle w:val="any"/>
          <w:rFonts w:ascii="PMingLiU" w:eastAsia="PMingLiU" w:hAnsi="PMingLiU" w:cs="PMingLiU"/>
          <w:spacing w:val="8"/>
        </w:rPr>
        <w:t>）、殷浩赞（</w:t>
      </w:r>
      <w:r>
        <w:rPr>
          <w:rStyle w:val="any"/>
          <w:rFonts w:ascii="Times New Roman" w:eastAsia="Times New Roman" w:hAnsi="Times New Roman" w:cs="Times New Roman"/>
          <w:spacing w:val="8"/>
        </w:rPr>
        <w:t>Haozan Yin</w:t>
      </w:r>
      <w:r>
        <w:rPr>
          <w:rStyle w:val="any"/>
          <w:rFonts w:ascii="PMingLiU" w:eastAsia="PMingLiU" w:hAnsi="PMingLiU" w:cs="PMingLiU"/>
          <w:spacing w:val="8"/>
        </w:rPr>
        <w:t>）、杨甫（</w:t>
      </w:r>
      <w:r>
        <w:rPr>
          <w:rStyle w:val="any"/>
          <w:rFonts w:ascii="Times New Roman" w:eastAsia="Times New Roman" w:hAnsi="Times New Roman" w:cs="Times New Roman"/>
          <w:spacing w:val="8"/>
        </w:rPr>
        <w:t>Fu Yang</w:t>
      </w:r>
      <w:r>
        <w:rPr>
          <w:rStyle w:val="any"/>
          <w:rFonts w:ascii="PMingLiU" w:eastAsia="PMingLiU" w:hAnsi="PMingLiU" w:cs="PMingLiU"/>
          <w:spacing w:val="8"/>
        </w:rPr>
        <w:t>，通讯作者）和周旭辉（</w:t>
      </w:r>
      <w:r>
        <w:rPr>
          <w:rStyle w:val="any"/>
          <w:rFonts w:ascii="Times New Roman" w:eastAsia="Times New Roman" w:hAnsi="Times New Roman" w:cs="Times New Roman"/>
          <w:spacing w:val="8"/>
        </w:rPr>
        <w:t>Xuhui Zhou</w:t>
      </w:r>
      <w:r>
        <w:rPr>
          <w:rStyle w:val="any"/>
          <w:rFonts w:ascii="PMingLiU" w:eastAsia="PMingLiU" w:hAnsi="PMingLiU" w:cs="PMingLiU"/>
          <w:spacing w:val="8"/>
        </w:rPr>
        <w:t>，通讯作者）共同完成。通讯作者周旭辉供职于海军军医大学（第二军医大学）长征医院骨科，以及上海交通大学医学院附属第一医院骨科转化研究中心；通讯作者杨甫则来自该校医学遗传学教研室。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月，学术评论平台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上的用户</w:t>
      </w:r>
      <w:r>
        <w:rPr>
          <w:rStyle w:val="any"/>
          <w:rFonts w:ascii="Times New Roman" w:eastAsia="Times New Roman" w:hAnsi="Times New Roman" w:cs="Times New Roman"/>
          <w:spacing w:val="8"/>
        </w:rPr>
        <w:t>“Pseudoamuria uptoni”</w:t>
      </w:r>
      <w:r>
        <w:rPr>
          <w:rStyle w:val="any"/>
          <w:rFonts w:ascii="PMingLiU" w:eastAsia="PMingLiU" w:hAnsi="PMingLiU" w:cs="PMingLiU"/>
          <w:spacing w:val="8"/>
        </w:rPr>
        <w:t>指出该论文中存在实验图像重复的问题，引发了对研究可靠性的关注。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507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35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周旭辉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月接受评论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非常感谢您的回复。经过仔细检查我们的手稿，我们发现这是一个无意的疏忽。为了全面解决这一差异，我们现在已经提交了图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3G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spacing w:val="8"/>
        </w:rPr>
        <w:t>中每个实验队列的所有四个生物学重复。我们希望通过以下详细阐述来阐明这个问题：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在图片编辑过程中，我们无意中加入了一张错误的图片。这些显微照片被存档在我们的计算系统的一个存储库中，导致</w:t>
      </w:r>
      <w:r>
        <w:rPr>
          <w:rStyle w:val="any"/>
          <w:rFonts w:ascii="Times New Roman" w:eastAsia="Times New Roman" w:hAnsi="Times New Roman" w:cs="Times New Roman"/>
          <w:spacing w:val="8"/>
        </w:rPr>
        <w:t>“siNfatc1”</w:t>
      </w:r>
      <w:r>
        <w:rPr>
          <w:rStyle w:val="any"/>
          <w:rFonts w:ascii="PMingLiU" w:eastAsia="PMingLiU" w:hAnsi="PMingLiU" w:cs="PMingLiU"/>
          <w:spacing w:val="8"/>
        </w:rPr>
        <w:t>实验组的图像被错误地归为</w:t>
      </w:r>
      <w:r>
        <w:rPr>
          <w:rStyle w:val="any"/>
          <w:rFonts w:ascii="Times New Roman" w:eastAsia="Times New Roman" w:hAnsi="Times New Roman" w:cs="Times New Roman"/>
          <w:spacing w:val="8"/>
        </w:rPr>
        <w:t>“siPgc1β+siNfatc1”</w:t>
      </w:r>
      <w:r>
        <w:rPr>
          <w:rStyle w:val="any"/>
          <w:rFonts w:ascii="PMingLiU" w:eastAsia="PMingLiU" w:hAnsi="PMingLiU" w:cs="PMingLiU"/>
          <w:spacing w:val="8"/>
        </w:rPr>
        <w:t>。从所有四个生物学重复的全面呈现可以看出，我们手稿中阐明的定量分析和随后的结论仍然有效，并且不会因这种无意的歪曲而受到影响。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关于在据称相同的图形之间观察到的背景差异，我们希望阐明，如在完整的重复系列中所展示的，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TRAP </w:t>
      </w:r>
      <w:r>
        <w:rPr>
          <w:rStyle w:val="any"/>
          <w:rFonts w:ascii="PMingLiU" w:eastAsia="PMingLiU" w:hAnsi="PMingLiU" w:cs="PMingLiU"/>
          <w:spacing w:val="8"/>
        </w:rPr>
        <w:t>染色的标本固有地表现出异质背景特征，这归因于可变的细胞密度、区域培养特征和微观参数。因此，对亮度和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或对比度参数进行了适度调整（</w:t>
      </w:r>
      <w:r>
        <w:rPr>
          <w:rStyle w:val="any"/>
          <w:rFonts w:ascii="Times New Roman" w:eastAsia="Times New Roman" w:hAnsi="Times New Roman" w:cs="Times New Roman"/>
          <w:spacing w:val="8"/>
        </w:rPr>
        <w:t>10-20%</w:t>
      </w:r>
      <w:r>
        <w:rPr>
          <w:rStyle w:val="any"/>
          <w:rFonts w:ascii="PMingLiU" w:eastAsia="PMingLiU" w:hAnsi="PMingLiU" w:cs="PMingLiU"/>
          <w:spacing w:val="8"/>
        </w:rPr>
        <w:t>），以在比较分析中标准化背景特征，从而增强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阳性细胞的视觉突出性，以便读者进行解释。必须强调的是，这些修改仅用于可视化目的，不会改变或损害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阳性细胞的定量评估。相反，这种改进通过强调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阳性细胞结构促进了更精确的量化。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此外，我们承认在提供的四个生物学重复中，细胞密度和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染色强度存在固有的变异性。这种异质性是破骨细胞生成检测方法所固有的。原代小鼠骨髓单核细胞在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96 </w:t>
      </w:r>
      <w:r>
        <w:rPr>
          <w:rStyle w:val="any"/>
          <w:rFonts w:ascii="PMingLiU" w:eastAsia="PMingLiU" w:hAnsi="PMingLiU" w:cs="PMingLiU"/>
          <w:spacing w:val="8"/>
        </w:rPr>
        <w:t>孔板中培养，其中在每个孔内全面进行破骨细胞计数（定义为含有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≥3 </w:t>
      </w:r>
      <w:r>
        <w:rPr>
          <w:rStyle w:val="any"/>
          <w:rFonts w:ascii="PMingLiU" w:eastAsia="PMingLiU" w:hAnsi="PMingLiU" w:cs="PMingLiU"/>
          <w:spacing w:val="8"/>
        </w:rPr>
        <w:t>个细胞核的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阳性细胞），并从破骨细胞密度最大的区域拍摄代表性显微照片。在代表性视野中观察到的细胞分布多样性构成了预期的实验变化，不会破坏我们手稿中提出的科学有效性或结论。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我们将主动与编辑部沟通，以便发布正式的勘误表来解决这些问题。我们衷心感谢您对这些技术考虑的敏锐观察和理解。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目前，该论文是否会受到期刊进一步调查或处理仍需关注。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原始质疑链接：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https://pubpeer.com/publications/2298051D93671375A077DB2BC17B25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39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04&amp;idx=1&amp;sn=02ad6de1e5f5c37bf542c17c7fa21701&amp;chksm=c3d1b8f69c8e387c97d605cd1f94cac3272746c019e75e86ee313b3bd8fe731a945dee91b2a2&amp;scene=126&amp;sessionid=17437900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