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敲响警钟！疑似论文工厂？山东大学第二医院消化内科主任郭建强的论文图像重复频发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09:30:26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2619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LncRNA SNHG5 affects cell proliferation, metastasis and migration of colorectal cancer through regulating miR-132-3p/CREB5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山东大学第二医院消化内科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Mingbao Zhang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Jianqiang Guo(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郭建强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9"/>
          <w:sz w:val="21"/>
          <w:szCs w:val="21"/>
        </w:rPr>
        <w:t>Cancer Biology &amp; Therapy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0642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937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1421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似乎有一个重叠的图像。</w:t>
      </w:r>
    </w:p>
    <w:p>
      <w:pPr>
        <w:spacing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</w:pPr>
    </w:p>
    <w:p>
      <w:pPr>
        <w:shd w:val="clear" w:color="auto" w:fill="FFFFFF"/>
        <w:spacing w:before="0" w:after="0" w:line="36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sz w:val="21"/>
          <w:szCs w:val="21"/>
          <w:u w:val="none"/>
        </w:rPr>
        <w:drawing>
          <wp:inline>
            <wp:extent cx="5486400" cy="12293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2463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293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shd w:val="clear" w:color="auto" w:fill="FFFFFF"/>
        <w:spacing w:after="0" w:line="36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图4a疑似出现在另外三篇论文中，而其中一篇论文又和其他文章存在相似。</w:t>
      </w:r>
    </w:p>
    <w:p>
      <w:pPr>
        <w:shd w:val="clear" w:color="auto" w:fill="FFFFFF"/>
        <w:spacing w:before="0" w:after="0" w:line="36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shd w:val="clear" w:color="auto" w:fill="FFFFFF"/>
        <w:spacing w:before="0" w:after="0" w:line="36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1B1B1B"/>
          <w:spacing w:val="8"/>
          <w:sz w:val="21"/>
          <w:szCs w:val="21"/>
        </w:rPr>
        <w:t>Fig 4a:</w:t>
      </w:r>
    </w:p>
    <w:p>
      <w:pPr>
        <w:shd w:val="clear" w:color="auto" w:fill="FFFFFF"/>
        <w:spacing w:before="0" w:after="0" w:line="36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shd w:val="clear" w:color="auto" w:fill="FFFFFF"/>
        <w:spacing w:before="0" w:after="0" w:line="36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1B1B1B"/>
          <w:spacing w:val="8"/>
          <w:sz w:val="21"/>
          <w:szCs w:val="21"/>
          <w:u w:val="none"/>
        </w:rPr>
        <w:drawing>
          <wp:inline>
            <wp:extent cx="9429750" cy="71247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0958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29750" cy="7124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shd w:val="clear" w:color="auto" w:fill="FFFFFF"/>
        <w:spacing w:before="0" w:after="0" w:line="36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shd w:val="clear" w:color="auto" w:fill="FFFFFF"/>
        <w:spacing w:after="0" w:line="312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0"/>
          <w:sz w:val="21"/>
          <w:szCs w:val="21"/>
        </w:rPr>
        <w:t>Clockwise from upper left:</w:t>
      </w:r>
    </w:p>
    <w:p>
      <w:pPr>
        <w:numPr>
          <w:ilvl w:val="0"/>
          <w:numId w:val="1"/>
        </w:numPr>
        <w:shd w:val="clear" w:color="auto" w:fill="FFFFFF"/>
        <w:spacing w:before="0" w:after="0" w:line="384" w:lineRule="atLeast"/>
        <w:ind w:left="300" w:right="405" w:hanging="210"/>
        <w:jc w:val="both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0"/>
          <w:sz w:val="21"/>
          <w:szCs w:val="21"/>
        </w:rPr>
        <w:t>Fig 6A from "MiR-130b promotes the progression of oesophageal squamous cell carcinoma by targeting SASH1" (Zhu et al 2019).</w:t>
      </w:r>
    </w:p>
    <w:p>
      <w:pPr>
        <w:numPr>
          <w:ilvl w:val="0"/>
          <w:numId w:val="1"/>
        </w:numPr>
        <w:shd w:val="clear" w:color="auto" w:fill="FFFFFF"/>
        <w:spacing w:before="0" w:after="0" w:line="384" w:lineRule="atLeast"/>
        <w:ind w:left="300" w:right="405" w:hanging="210"/>
        <w:jc w:val="both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0"/>
          <w:sz w:val="21"/>
          <w:szCs w:val="21"/>
        </w:rPr>
        <w:t>Fig 3D from "MiR-139-5p, miR-940 and miR-193a-5p inhibit the growth of hepatocellular carcinoma by targeting SPOCK1" (Li et al 2019).</w:t>
      </w:r>
    </w:p>
    <w:p>
      <w:pPr>
        <w:numPr>
          <w:ilvl w:val="0"/>
          <w:numId w:val="1"/>
        </w:numPr>
        <w:shd w:val="clear" w:color="auto" w:fill="FFFFFF"/>
        <w:spacing w:before="0" w:after="0" w:line="384" w:lineRule="atLeast"/>
        <w:ind w:left="300" w:right="405" w:hanging="210"/>
        <w:jc w:val="both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0"/>
          <w:sz w:val="21"/>
          <w:szCs w:val="21"/>
        </w:rPr>
        <w:t>Fig 2G from "circZMYM2 Competed Endogenously with miR-335-5p to Regulate JMJD2C in Pancreatic Cancer" (An et al 2018) [retracted].</w:t>
      </w:r>
    </w:p>
    <w:p>
      <w:pPr>
        <w:numPr>
          <w:ilvl w:val="0"/>
          <w:numId w:val="1"/>
        </w:numPr>
        <w:shd w:val="clear" w:color="auto" w:fill="FFFFFF"/>
        <w:spacing w:before="0" w:after="0" w:line="384" w:lineRule="atLeast"/>
        <w:ind w:left="300" w:right="405" w:hanging="210"/>
        <w:jc w:val="both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0"/>
          <w:sz w:val="21"/>
          <w:szCs w:val="21"/>
        </w:rPr>
        <w:t>Fig 3A from "MicroR‐542‐3p can mediate ILK and further inhibit cell proliferation, migration and invasion in osteosarcoma cells" (Cai et al 2019).</w:t>
      </w:r>
    </w:p>
    <w:p>
      <w:pPr>
        <w:shd w:val="clear" w:color="auto" w:fill="FFFFFF"/>
        <w:spacing w:before="0" w:after="0" w:line="36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1B1B1B"/>
          <w:spacing w:val="8"/>
          <w:sz w:val="21"/>
          <w:szCs w:val="21"/>
          <w:u w:val="none"/>
        </w:rPr>
        <w:drawing>
          <wp:inline>
            <wp:extent cx="10287000" cy="63341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4514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334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</w:p>
    <w:p>
      <w:pPr>
        <w:shd w:val="clear" w:color="auto" w:fill="FFFFFF"/>
        <w:spacing w:after="0" w:line="315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图5A与Xu et al 2018的1C出现重复。</w:t>
      </w:r>
    </w:p>
    <w:p>
      <w:pPr>
        <w:shd w:val="clear" w:color="auto" w:fill="FFFFFF"/>
        <w:spacing w:before="0" w:line="315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1B1B1B"/>
          <w:spacing w:val="7"/>
          <w:sz w:val="21"/>
          <w:szCs w:val="21"/>
        </w:rPr>
        <w:t>[left]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33333"/>
          <w:spacing w:val="0"/>
          <w:sz w:val="21"/>
          <w:szCs w:val="21"/>
        </w:rPr>
        <w:t> Fig 5A.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33333"/>
          <w:spacing w:val="0"/>
          <w:sz w:val="21"/>
          <w:szCs w:val="21"/>
        </w:rPr>
        <w:t>[right] Fig 1C from "The effects of lncRNA MALAT1 on proliferation, invasion and migration in colorectal cancer through regulating SOX9" (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33333"/>
          <w:spacing w:val="0"/>
          <w:sz w:val="21"/>
          <w:szCs w:val="21"/>
        </w:rPr>
        <w:t>Xu et al 2018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33333"/>
          <w:spacing w:val="0"/>
          <w:sz w:val="21"/>
          <w:szCs w:val="21"/>
        </w:rPr>
        <w:t>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1B1B1B"/>
          <w:spacing w:val="8"/>
          <w:sz w:val="21"/>
          <w:szCs w:val="21"/>
          <w:u w:val="none"/>
        </w:rPr>
        <w:drawing>
          <wp:inline>
            <wp:extent cx="10287000" cy="51054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087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105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15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https://pubmed.ncbi.nlm.nih.gov/30395767/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https://pubpeer.com/publications/39321946A60249478A5893B5F8E6ED#3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5462&amp;idx=1&amp;sn=ec58c3ec3161d2eaa385225ccdda4236&amp;chksm=c5c360bfe1fa850ec8f097d023caecb4c140baa14b2adb4963d50d7e1bf1bba82c3fa2cf0725&amp;scene=126&amp;sessionid=174378643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