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河南省人民医院神经外科某主任的论文被质疑！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23:13:52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2019</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河南省人民医院神经外科在期刊</w:t>
      </w:r>
      <w:r>
        <w:rPr>
          <w:rStyle w:val="any"/>
          <w:spacing w:val="8"/>
          <w:lang w:val="en-US" w:eastAsia="en-US"/>
        </w:rPr>
        <w:t>Bioscience Reports</w:t>
      </w:r>
      <w:r>
        <w:rPr>
          <w:rStyle w:val="any"/>
          <w:rFonts w:ascii="PMingLiU" w:eastAsia="PMingLiU" w:hAnsi="PMingLiU" w:cs="PMingLiU"/>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MiR-218-5p targets LHFPL3 to regulate proliferation, migration, and epithelial–mesenchymal transitions of human glioma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Zhixiao Li , Rongjun Qian</w:t>
      </w:r>
      <w:r>
        <w:rPr>
          <w:rStyle w:val="any"/>
          <w:rFonts w:ascii="PMingLiU" w:eastAsia="PMingLiU" w:hAnsi="PMingLiU" w:cs="PMingLiU"/>
          <w:spacing w:val="8"/>
        </w:rPr>
        <w:t>（通讯作者，音译，迁荣军）</w:t>
      </w:r>
      <w:r>
        <w:rPr>
          <w:rStyle w:val="any"/>
          <w:spacing w:val="8"/>
          <w:lang w:val="en-US" w:eastAsia="en-US"/>
        </w:rPr>
        <w:t>, Jiadong Zhang , Xiwen Shi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河南省人民医院神经外科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05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40463" name=""/>
                    <pic:cNvPicPr>
                      <a:picLocks noChangeAspect="1"/>
                    </pic:cNvPicPr>
                  </pic:nvPicPr>
                  <pic:blipFill>
                    <a:blip xmlns:r="http://schemas.openxmlformats.org/officeDocument/2006/relationships" r:embed="rId6"/>
                    <a:stretch>
                      <a:fillRect/>
                    </a:stretch>
                  </pic:blipFill>
                  <pic:spPr>
                    <a:xfrm>
                      <a:off x="0" y="0"/>
                      <a:ext cx="5276850" cy="190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48180"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23&amp;idx=1&amp;sn=ea4ef4a279ed1ebc86818785306ad57d&amp;chksm=c1cd0ec604e012e9c6bdd150b6bae45d6c004c268ebfac54dce5faaca41c57f081cc23825282&amp;scene=126&amp;sessionid=17437859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