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图像拉伸变新材料？山东大学信息科学与工程学院研究遭质疑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Alloys and Compounds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‘Study the relation between band gap value and lattice constant of MgTi2O4’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MgTi2O4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带隙值与晶格常数关系的研究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10.1016/j.jallcom.2019.02.261</w:t>
      </w:r>
      <w:r>
        <w:rPr>
          <w:rStyle w:val="any"/>
          <w:rFonts w:ascii="PMingLiU" w:eastAsia="PMingLiU" w:hAnsi="PMingLiU" w:cs="PMingLiU"/>
          <w:spacing w:val="8"/>
        </w:rPr>
        <w:t>）因图像问题引发质疑。该研究由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Yujun Shi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Jie Lian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Wei Hu , Yuxiang Liu , Ge He , Kui Jin , Haonan Song , Kai Dai , Jiaxiong Fang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山东大学信息科学与工程学院。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84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4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 MTO_1 (a)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(b)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(c)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扫描图像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07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）和（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）是相同的材料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0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https://pubpeer.com/publications/EF012AF3D57B3169932F839B0CBF57#0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24100" cy="3277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7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671887694725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3&amp;idx=1&amp;sn=11200bae6fccec3284c134c0e5d1c5ba&amp;chksm=c3d13741e996087519db4578182e9edaafb51e46d02ac54282866de1d21883e7e71f83d9f631&amp;scene=126&amp;sessionid=17437860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