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000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8657"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57370"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50864"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36661"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6378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ee441cb4339b55f924a9fec7111c765c8e1f2436b1c8b44bee13071ffc15f64d9cfe366210&amp;scene=126&amp;sessionid=174378580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