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不同机构（分布山东各市）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篇论文数据存在重叠，涉潍坊医学院附属医院、山大齐鲁医院、临沂市人民、济宁医学院附属医院、青岛市中心医院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mechanism of miR-143 inducing apoptosis of liver carcinoma cells through regulation of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潍坊医学院附属医院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发表时间：2018年4月13日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10.3892/ol.2018.8486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35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9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Protects Osteoblasts Against Dexamethasone-Induced Cytotoxicity Through Activation of AMP-Activated Protein Kinase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期刊：Drug Design, Development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山东大学齐鲁医院&amp;临沂市人民医院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10.2147/DDDT.S266502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5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66667" cy="29333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9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Correlation of nm 23 expression with pharyngeal cancer and patient prognoses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济宁医学院附属医院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10.3892/ol.2018.9375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40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14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interventional embolotherapy on FHIT and p16 expression in hepatocellular carcinoma patients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青岛市中心医院（青岛市肿瘤医院）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10.3892/ol.2018.9648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05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7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73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53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83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印迹重复，且标注为不同物质。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14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https://pubpeer.com/publications/C16103535656D9FD921659B9DD5DE1#2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https://pubpeer.com/publications/438100E7087A891E84E5C05D643608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https://pubpeer.com/publications/0D0F12A6888B307D0E6568C6452C55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https://pubpeer.com/publications/F0F0569320AA144D53689ED08B38F7#1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93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83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3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2&amp;sn=fe36eacf55b77b8e261136173c42b6f8&amp;chksm=c2a647f4560295817566e095120828b992cefe811992230c54c3a879f4ea22418d5557117e6b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