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图像重复且未获伦理批准，南方医科大学珠江医院徐世元</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南方医科大学邓凡</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南方医科大学第五附属医院曾方银的论文被撤稿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2025-03-22 13:42:59</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PMingLiU" w:eastAsia="PMingLiU" w:hAnsi="PMingLiU" w:cs="PMingLiU"/>
          <w:spacing w:val="9"/>
        </w:rPr>
        <w:t>一</w:t>
      </w: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5708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15621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2019</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南方医科大学珠江医院</w:t>
      </w:r>
      <w:r>
        <w:rPr>
          <w:rStyle w:val="any"/>
          <w:rFonts w:ascii="PMingLiU" w:eastAsia="PMingLiU" w:hAnsi="PMingLiU" w:cs="PMingLiU"/>
          <w:spacing w:val="9"/>
          <w:sz w:val="21"/>
          <w:szCs w:val="21"/>
        </w:rPr>
        <w:t>的</w:t>
      </w:r>
      <w:r>
        <w:rPr>
          <w:rStyle w:val="any"/>
          <w:rFonts w:ascii="Times New Roman" w:eastAsia="Times New Roman" w:hAnsi="Times New Roman" w:cs="Times New Roman"/>
          <w:color w:val="C84D0C"/>
          <w:spacing w:val="9"/>
          <w:sz w:val="21"/>
          <w:szCs w:val="21"/>
        </w:rPr>
        <w:t>Zhibin Huang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&amp;</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C84D0C"/>
          <w:spacing w:val="9"/>
          <w:sz w:val="21"/>
          <w:szCs w:val="21"/>
        </w:rPr>
        <w:t>Shiyuan Xu</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徐世元</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 xml:space="preserve"> &amp; </w:t>
      </w:r>
      <w:r>
        <w:rPr>
          <w:rStyle w:val="any"/>
          <w:rFonts w:ascii="PMingLiU" w:eastAsia="PMingLiU" w:hAnsi="PMingLiU" w:cs="PMingLiU"/>
          <w:spacing w:val="9"/>
          <w:sz w:val="21"/>
          <w:szCs w:val="21"/>
        </w:rPr>
        <w:t>南方医科大学的</w:t>
      </w:r>
      <w:r>
        <w:rPr>
          <w:rStyle w:val="any"/>
          <w:rFonts w:ascii="Times New Roman" w:eastAsia="Times New Roman" w:hAnsi="Times New Roman" w:cs="Times New Roman"/>
          <w:color w:val="C84D0C"/>
          <w:spacing w:val="9"/>
          <w:sz w:val="21"/>
          <w:szCs w:val="21"/>
        </w:rPr>
        <w:t>Guihuan Li</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Zhishuai Zhang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&amp; </w:t>
      </w:r>
      <w:r>
        <w:rPr>
          <w:rStyle w:val="any"/>
          <w:rFonts w:ascii="Times New Roman" w:eastAsia="Times New Roman" w:hAnsi="Times New Roman" w:cs="Times New Roman"/>
          <w:color w:val="C84D0C"/>
          <w:spacing w:val="9"/>
          <w:sz w:val="21"/>
          <w:szCs w:val="21"/>
        </w:rPr>
        <w:t xml:space="preserve">Fan Deng </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邓凡</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spacing w:val="9"/>
          <w:sz w:val="21"/>
          <w:szCs w:val="21"/>
        </w:rPr>
        <w:t> &amp; </w:t>
      </w:r>
      <w:r>
        <w:rPr>
          <w:rStyle w:val="any"/>
          <w:rFonts w:ascii="PMingLiU" w:eastAsia="PMingLiU" w:hAnsi="PMingLiU" w:cs="PMingLiU"/>
          <w:spacing w:val="9"/>
          <w:sz w:val="21"/>
          <w:szCs w:val="21"/>
        </w:rPr>
        <w:t>南方医科大学第五附属医院的</w:t>
      </w:r>
      <w:r>
        <w:rPr>
          <w:rStyle w:val="any"/>
          <w:rFonts w:ascii="Times New Roman" w:eastAsia="Times New Roman" w:hAnsi="Times New Roman" w:cs="Times New Roman"/>
          <w:color w:val="C84D0C"/>
          <w:spacing w:val="9"/>
          <w:sz w:val="21"/>
          <w:szCs w:val="21"/>
        </w:rPr>
        <w:t>F</w:t>
      </w:r>
      <w:r>
        <w:rPr>
          <w:rStyle w:val="any"/>
          <w:rFonts w:ascii="Times New Roman" w:eastAsia="Times New Roman" w:hAnsi="Times New Roman" w:cs="Times New Roman"/>
          <w:color w:val="C84D0C"/>
          <w:spacing w:val="9"/>
          <w:sz w:val="21"/>
          <w:szCs w:val="21"/>
        </w:rPr>
        <w:t>angyin Zeng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曾方银</w:t>
      </w:r>
      <w:r>
        <w:rPr>
          <w:rStyle w:val="any"/>
          <w:rFonts w:ascii="PMingLiU" w:eastAsia="PMingLiU" w:hAnsi="PMingLiU" w:cs="PMingLiU"/>
          <w:color w:val="C84D0C"/>
          <w:spacing w:val="9"/>
          <w:sz w:val="21"/>
          <w:szCs w:val="21"/>
        </w:rPr>
        <w:t>）</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BMC Cancer(</w:t>
      </w:r>
      <w:r>
        <w:rPr>
          <w:rStyle w:val="any"/>
          <w:rFonts w:ascii="PMingLiU" w:eastAsia="PMingLiU" w:hAnsi="PMingLiU" w:cs="PMingLiU"/>
          <w:spacing w:val="9"/>
          <w:sz w:val="21"/>
          <w:szCs w:val="21"/>
        </w:rPr>
        <w:t>中科院二区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β2AR-HIF-1α-CXCL12 signaling of osteoblasts activated by isoproterenol promotes migration and invasion of prostate cancer cells"</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异丙肾上腺素激活的成骨细胞</w:t>
      </w:r>
      <w:r>
        <w:rPr>
          <w:rStyle w:val="any"/>
          <w:rFonts w:ascii="Times New Roman" w:eastAsia="Times New Roman" w:hAnsi="Times New Roman" w:cs="Times New Roman"/>
          <w:spacing w:val="9"/>
          <w:sz w:val="21"/>
          <w:szCs w:val="21"/>
        </w:rPr>
        <w:t xml:space="preserve">β2AR-HIF-1α-CXCL12 </w:t>
      </w:r>
      <w:r>
        <w:rPr>
          <w:rStyle w:val="any"/>
          <w:rFonts w:ascii="PMingLiU" w:eastAsia="PMingLiU" w:hAnsi="PMingLiU" w:cs="PMingLiU"/>
          <w:spacing w:val="9"/>
          <w:sz w:val="21"/>
          <w:szCs w:val="21"/>
        </w:rPr>
        <w:t>信号传递促进前列腺癌细胞的迁移和侵袭</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w:t>
      </w:r>
      <w:r>
        <w:rPr>
          <w:rStyle w:val="any"/>
          <w:rFonts w:ascii="PMingLiU" w:eastAsia="PMingLiU" w:hAnsi="PMingLiU" w:cs="PMingLiU"/>
          <w:spacing w:val="9"/>
        </w:rPr>
        <w:t>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PMingLiU" w:eastAsia="PMingLiU" w:hAnsi="PMingLiU" w:cs="PMingLiU"/>
          <w:spacing w:val="9"/>
          <w:sz w:val="21"/>
          <w:szCs w:val="21"/>
        </w:rPr>
        <w:t>本研究得到了中国国家自然科学基金（项目编号：</w:t>
      </w:r>
      <w:r>
        <w:rPr>
          <w:rStyle w:val="any"/>
          <w:rFonts w:ascii="Times New Roman" w:eastAsia="Times New Roman" w:hAnsi="Times New Roman" w:cs="Times New Roman"/>
          <w:spacing w:val="9"/>
          <w:sz w:val="21"/>
          <w:szCs w:val="21"/>
        </w:rPr>
        <w:t>81772761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81672540</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81472407</w:t>
      </w:r>
      <w:r>
        <w:rPr>
          <w:rStyle w:val="any"/>
          <w:rFonts w:ascii="PMingLiU" w:eastAsia="PMingLiU" w:hAnsi="PMingLiU" w:cs="PMingLiU"/>
          <w:spacing w:val="9"/>
          <w:sz w:val="21"/>
          <w:szCs w:val="21"/>
        </w:rPr>
        <w:t>）的资金支持；同时，也得到了中国广州市科技基金（项目编号：</w:t>
      </w:r>
      <w:r>
        <w:rPr>
          <w:rStyle w:val="any"/>
          <w:rFonts w:ascii="Times New Roman" w:eastAsia="Times New Roman" w:hAnsi="Times New Roman" w:cs="Times New Roman"/>
          <w:spacing w:val="9"/>
          <w:sz w:val="21"/>
          <w:szCs w:val="21"/>
        </w:rPr>
        <w:t>201607010351</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210707010303</w:t>
      </w:r>
      <w:r>
        <w:rPr>
          <w:rStyle w:val="any"/>
          <w:rFonts w:ascii="PMingLiU" w:eastAsia="PMingLiU" w:hAnsi="PMingLiU" w:cs="PMingLiU"/>
          <w:spacing w:val="9"/>
          <w:sz w:val="21"/>
          <w:szCs w:val="21"/>
        </w:rPr>
        <w:t>）以及南方医科大学第五附属医院院长基金（项目编号：</w:t>
      </w:r>
      <w:r>
        <w:rPr>
          <w:rStyle w:val="any"/>
          <w:rFonts w:ascii="Times New Roman" w:eastAsia="Times New Roman" w:hAnsi="Times New Roman" w:cs="Times New Roman"/>
          <w:spacing w:val="9"/>
          <w:sz w:val="21"/>
          <w:szCs w:val="21"/>
        </w:rPr>
        <w:t>YZ2017ZD002</w:t>
      </w:r>
      <w:r>
        <w:rPr>
          <w:rStyle w:val="any"/>
          <w:rFonts w:ascii="PMingLiU" w:eastAsia="PMingLiU" w:hAnsi="PMingLiU" w:cs="PMingLiU"/>
          <w:spacing w:val="9"/>
          <w:sz w:val="21"/>
          <w:szCs w:val="21"/>
        </w:rPr>
        <w:t>）的资助。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007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239404" name=""/>
                    <pic:cNvPicPr>
                      <a:picLocks noChangeAspect="1"/>
                    </pic:cNvPicPr>
                  </pic:nvPicPr>
                  <pic:blipFill>
                    <a:blip xmlns:r="http://schemas.openxmlformats.org/officeDocument/2006/relationships" r:embed="rId8"/>
                    <a:stretch>
                      <a:fillRect/>
                    </a:stretch>
                  </pic:blipFill>
                  <pic:spPr>
                    <a:xfrm>
                      <a:off x="0" y="0"/>
                      <a:ext cx="5486400" cy="5700765"/>
                    </a:xfrm>
                    <a:prstGeom prst="rect">
                      <a:avLst/>
                    </a:prstGeom>
                  </pic:spPr>
                </pic:pic>
              </a:graphicData>
            </a:graphic>
          </wp:inline>
        </w:drawing>
      </w:r>
    </w:p>
    <w:p>
      <w:pPr>
        <w:shd w:val="clear" w:color="auto" w:fill="FFFFFF"/>
        <w:spacing w:before="0" w:after="0" w:line="432" w:lineRule="atLeast"/>
        <w:ind w:left="315" w:right="315"/>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486400" cy="4114800"/>
            <wp:docPr id="100004" name="" descr="南方医科大学珠江医院选择贺众牌饮水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97879" name=""/>
                    <pic:cNvPicPr>
                      <a:picLocks noChangeAspect="1"/>
                    </pic:cNvPicPr>
                  </pic:nvPicPr>
                  <pic:blipFill>
                    <a:blip xmlns:r="http://schemas.openxmlformats.org/officeDocument/2006/relationships" r:embed="rId9"/>
                    <a:stretch>
                      <a:fillRect/>
                    </a:stretch>
                  </pic:blipFill>
                  <pic:spPr>
                    <a:xfrm>
                      <a:off x="0" y="0"/>
                      <a:ext cx="5486400" cy="4114800"/>
                    </a:xfrm>
                    <a:prstGeom prst="rect">
                      <a:avLst/>
                    </a:prstGeom>
                  </pic:spPr>
                </pic:pic>
              </a:graphicData>
            </a:graphic>
          </wp:inline>
        </w:drawing>
      </w: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3652520"/>
            <wp:docPr id="100005" name="" descr="南方医科大学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047394" name=""/>
                    <pic:cNvPicPr>
                      <a:picLocks noChangeAspect="1"/>
                    </pic:cNvPicPr>
                  </pic:nvPicPr>
                  <pic:blipFill>
                    <a:blip xmlns:r="http://schemas.openxmlformats.org/officeDocument/2006/relationships" r:embed="rId10"/>
                    <a:stretch>
                      <a:fillRect/>
                    </a:stretch>
                  </pic:blipFill>
                  <pic:spPr>
                    <a:xfrm>
                      <a:off x="0" y="0"/>
                      <a:ext cx="5486400" cy="3652520"/>
                    </a:xfrm>
                    <a:prstGeom prst="rect">
                      <a:avLst/>
                    </a:prstGeom>
                  </pic:spPr>
                </pic:pic>
              </a:graphicData>
            </a:graphic>
          </wp:inline>
        </w:drawing>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86400" cy="4059936"/>
            <wp:docPr id="100006" name="" descr="南方医科大学第五附属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583074" name=""/>
                    <pic:cNvPicPr>
                      <a:picLocks noChangeAspect="1"/>
                    </pic:cNvPicPr>
                  </pic:nvPicPr>
                  <pic:blipFill>
                    <a:blip xmlns:r="http://schemas.openxmlformats.org/officeDocument/2006/relationships" r:embed="rId11"/>
                    <a:stretch>
                      <a:fillRect/>
                    </a:stretch>
                  </pic:blipFill>
                  <pic:spPr>
                    <a:xfrm>
                      <a:off x="0" y="0"/>
                      <a:ext cx="5486400" cy="4059936"/>
                    </a:xfrm>
                    <a:prstGeom prst="rect">
                      <a:avLst/>
                    </a:prstGeom>
                  </pic:spPr>
                </pic:pic>
              </a:graphicData>
            </a:graphic>
          </wp:inline>
        </w:drawing>
      </w:r>
    </w:p>
    <w:p>
      <w:pPr>
        <w:shd w:val="clear" w:color="auto" w:fill="FFFFFF"/>
        <w:spacing w:before="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7790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405" w:right="40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rPr>
          <w:rStyle w:val="any"/>
          <w:rFonts w:ascii="Microsoft YaHei UI" w:eastAsia="Microsoft YaHei UI" w:hAnsi="Microsoft YaHei UI" w:cs="Microsoft YaHei UI"/>
          <w:color w:val="3E3E3E"/>
          <w:spacing w:val="9"/>
          <w:sz w:val="21"/>
          <w:szCs w:val="21"/>
        </w:rPr>
      </w:pPr>
    </w:p>
    <w:p>
      <w:pPr>
        <w:pStyle w:val="p"/>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405" w:right="405" w:hanging="196"/>
        <w:jc w:val="left"/>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图2C存在重复面板。</w:t>
      </w:r>
    </w:p>
    <w:p>
      <w:pPr>
        <w:shd w:val="clear" w:color="auto" w:fill="FFFFFF"/>
        <w:spacing w:after="0" w:line="432" w:lineRule="atLeast"/>
        <w:ind w:left="375" w:right="375"/>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color w:val="3E3E3E"/>
          <w:spacing w:val="9"/>
          <w:sz w:val="21"/>
          <w:szCs w:val="21"/>
        </w:rPr>
        <w:t>In Figure 2C, microscopy data has been duplicated and presented as something else (Invasion, PCR; last two micrographs).</w:t>
      </w:r>
    </w:p>
    <w:p>
      <w:pP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375" w:right="375"/>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rPr>
        <w:drawing>
          <wp:inline>
            <wp:extent cx="541020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498683" name=""/>
                    <pic:cNvPicPr>
                      <a:picLocks noChangeAspect="1"/>
                    </pic:cNvPicPr>
                  </pic:nvPicPr>
                  <pic:blipFill>
                    <a:blip xmlns:r="http://schemas.openxmlformats.org/officeDocument/2006/relationships" r:embed="rId12"/>
                    <a:stretch>
                      <a:fillRect/>
                    </a:stretch>
                  </pic:blipFill>
                  <pic:spPr>
                    <a:xfrm>
                      <a:off x="0" y="0"/>
                      <a:ext cx="541020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378" w:lineRule="atLeast"/>
        <w:ind w:left="420" w:right="420"/>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b/>
          <w:bCs/>
          <w:color w:val="3E3E3E"/>
          <w:spacing w:val="9"/>
          <w:sz w:val="21"/>
          <w:szCs w:val="21"/>
        </w:rPr>
        <w:t>通讯作者表示:</w:t>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color w:val="3E3E3E"/>
          <w:spacing w:val="9"/>
          <w:sz w:val="21"/>
          <w:szCs w:val="21"/>
        </w:rPr>
        <w:t>对于图2C中在最后两个相邻显微照片的图像准备和插入过程中出现的图像错位和无意重复，我们深表歉意。尽管这一瑕疵并不影响文章的主要结论，但我们仍然为此给其他作者和读者带来的不便深感遗憾。图2的更正版如下所示:</w:t>
      </w:r>
    </w:p>
    <w:p>
      <w:pPr>
        <w:shd w:val="clear" w:color="auto" w:fill="FFFFFF"/>
        <w:spacing w:before="0" w:after="0" w:line="378" w:lineRule="atLeast"/>
        <w:ind w:left="405" w:right="405"/>
        <w:jc w:val="center"/>
        <w:rPr>
          <w:rStyle w:val="any"/>
          <w:rFonts w:ascii="Microsoft YaHei UI" w:eastAsia="Microsoft YaHei UI" w:hAnsi="Microsoft YaHei UI" w:cs="Microsoft YaHei UI"/>
          <w:color w:val="3E3E3E"/>
          <w:spacing w:val="9"/>
          <w:sz w:val="21"/>
          <w:szCs w:val="21"/>
        </w:rPr>
      </w:pPr>
      <w:r>
        <w:rPr>
          <w:rStyle w:val="any"/>
          <w:rFonts w:ascii="Microsoft YaHei UI" w:eastAsia="Microsoft YaHei UI" w:hAnsi="Microsoft YaHei UI" w:cs="Microsoft YaHei UI"/>
          <w:strike w:val="0"/>
          <w:color w:val="3E3E3E"/>
          <w:spacing w:val="9"/>
          <w:sz w:val="21"/>
          <w:szCs w:val="21"/>
          <w:u w:val="none"/>
        </w:rPr>
        <w:drawing>
          <wp:inline>
            <wp:extent cx="5303084" cy="82296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508639" name=""/>
                    <pic:cNvPicPr>
                      <a:picLocks noChangeAspect="1"/>
                    </pic:cNvPicPr>
                  </pic:nvPicPr>
                  <pic:blipFill>
                    <a:blip xmlns:r="http://schemas.openxmlformats.org/officeDocument/2006/relationships" r:embed="rId13"/>
                    <a:stretch>
                      <a:fillRect/>
                    </a:stretch>
                  </pic:blipFill>
                  <pic:spPr>
                    <a:xfrm>
                      <a:off x="0" y="0"/>
                      <a:ext cx="5303084"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20" w:right="42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75" w:right="375"/>
        <w:rPr>
          <w:rStyle w:val="any"/>
          <w:rFonts w:ascii="Microsoft YaHei UI" w:eastAsia="Microsoft YaHei UI" w:hAnsi="Microsoft YaHei UI" w:cs="Microsoft YaHei UI"/>
          <w:color w:val="3E3E3E"/>
          <w:spacing w:val="9"/>
        </w:rPr>
      </w:pPr>
    </w:p>
    <w:p>
      <w:pPr>
        <w:shd w:val="clear" w:color="auto" w:fill="FFFFFF"/>
        <w:spacing w:before="0" w:after="0" w:line="432" w:lineRule="atLeast"/>
        <w:ind w:left="450" w:right="45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2831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450" w:right="45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450" w:right="45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于2025年3月14日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color w:val="3E3E3E"/>
          <w:spacing w:val="9"/>
          <w:sz w:val="21"/>
          <w:szCs w:val="21"/>
        </w:rPr>
        <w:t>主编们已撤回本文。本文发表后，有人对图2C（PC3侵袭实验（成骨细胞，ISO）和（成骨细胞，ISO，Pro））和图6D（PC3迁移实验（成骨细胞）和（成骨细胞，HIF-1α过表达，CXCR5 siRNA））中的相似图像表示担忧。出版商进一步核查后发现，相关实验是在未获得相应伦理批准的情况下进行的。</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line="432" w:lineRule="atLeast"/>
        <w:ind w:left="450" w:right="450"/>
        <w:rPr>
          <w:rStyle w:val="any"/>
          <w:rFonts w:ascii="Microsoft YaHei UI" w:eastAsia="Microsoft YaHei UI" w:hAnsi="Microsoft YaHei UI" w:cs="Microsoft YaHei UI"/>
          <w:b w:val="0"/>
          <w:bCs w:val="0"/>
          <w:color w:val="3E3E3E"/>
          <w:spacing w:val="9"/>
          <w:sz w:val="21"/>
          <w:szCs w:val="21"/>
        </w:rPr>
      </w:pPr>
      <w:r>
        <w:rPr>
          <w:rStyle w:val="any"/>
          <w:rFonts w:ascii="Microsoft YaHei UI" w:eastAsia="Microsoft YaHei UI" w:hAnsi="Microsoft YaHei UI" w:cs="Microsoft YaHei UI"/>
          <w:b w:val="0"/>
          <w:bCs w:val="0"/>
          <w:color w:val="3E3E3E"/>
          <w:spacing w:val="9"/>
          <w:sz w:val="21"/>
          <w:szCs w:val="21"/>
        </w:rPr>
        <w:t>Fan Deng, Zhong-Kai Cui, Fangyin Zeng, Zhishuai Zhang, Wenyang Wang, Xiaoju Lai, Shiyuan Xu  Ruonan Gu同意此次撤回。</w:t>
      </w:r>
      <w:r>
        <w:rPr>
          <w:rStyle w:val="any"/>
          <w:rFonts w:ascii="Microsoft YaHei UI" w:eastAsia="Microsoft YaHei UI" w:hAnsi="Microsoft YaHei UI" w:cs="Microsoft YaHei UI"/>
          <w:b w:val="0"/>
          <w:bCs w:val="0"/>
          <w:color w:val="3E3E3E"/>
          <w:spacing w:val="9"/>
          <w:sz w:val="21"/>
          <w:szCs w:val="21"/>
        </w:rPr>
        <w:t>Zhibin Huang 和 Guihuan未就此次撤回事宜回复主编或出版商。</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65" w:right="46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50" w:right="450"/>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390" w:right="390"/>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83444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https://pubpeer.com/publications/E53B3AB5291E68A4BFAFE8FC392FBA</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https://pubmed.ncbi.nlm.nih.gov/29441015/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https://www.frontiersin.org/journals/pharmacology/articles/10.3389/fphar.2025.1575621/full</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754&amp;idx=1&amp;sn=5c2617872c9d32b12007372e922b70f0&amp;chksm=c1f590b4ac92a495d87a30725b9fc293c07b34595748da280a02cd1f500729f6c634456e109c&amp;scene=126&amp;sessionid=174369880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