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412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91834"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5962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amp;chksm=c275ceadef158cafc98f6d6ef366aab161af11169136409dd36d3027ec110f164ffd23282deb&amp;scene=126&amp;sessionid=1743698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