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08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91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37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80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253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67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24c28103fa670ea7d7c469f4e312e4792ce15893a64a689188f0c97e8dbc8ed9d76562b68f&amp;scene=126&amp;sessionid=17436985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