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7852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肠粘膜炎是癌症化疗的常见副作用，它限制了患者接受化疗的剂量。据报道，三联基序家族 （TRIM） 蛋白与癌症化疗的调节有关。</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2021 年 10 月 22 日，</w:t>
      </w:r>
      <w:r>
        <w:rPr>
          <w:rStyle w:val="any"/>
          <w:rFonts w:ascii="Microsoft YaHei UI" w:eastAsia="Microsoft YaHei UI" w:hAnsi="Microsoft YaHei UI" w:cs="Microsoft YaHei UI"/>
          <w:color w:val="222222"/>
          <w:spacing w:val="8"/>
          <w:sz w:val="23"/>
          <w:szCs w:val="23"/>
        </w:rPr>
        <w:t>上海市宝山区中西医结合医院的Zhao Wenjun等人在</w:t>
      </w:r>
      <w:r>
        <w:rPr>
          <w:rStyle w:val="any"/>
          <w:rFonts w:ascii="Microsoft YaHei UI" w:eastAsia="Microsoft YaHei UI" w:hAnsi="Microsoft YaHei UI" w:cs="Microsoft YaHei UI"/>
          <w:b/>
          <w:bCs/>
          <w:i/>
          <w:iCs/>
          <w:color w:val="222222"/>
          <w:spacing w:val="8"/>
          <w:sz w:val="23"/>
          <w:szCs w:val="23"/>
        </w:rPr>
        <w:t>Molecular medicine reports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Knockdown of TRIM9 attenuates irinotecan?induced intestinal mucositis in IEC?6 cells by regulating DUSP6 expression via the P38 pathway</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该研究结果表明，TRIM9 敲低可能通过抑制炎性细胞因子表达和修复肠道屏障功能而使肠粘膜炎患者受益，这可能是由于通过靶向 DUSP6 抑制了 P38 通路的激活。</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06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1453" name=""/>
                    <pic:cNvPicPr>
                      <a:picLocks noChangeAspect="1"/>
                    </pic:cNvPicPr>
                  </pic:nvPicPr>
                  <pic:blipFill>
                    <a:blip xmlns:r="http://schemas.openxmlformats.org/officeDocument/2006/relationships" r:embed="rId8"/>
                    <a:stretch>
                      <a:fillRect/>
                    </a:stretch>
                  </pic:blipFill>
                  <pic:spPr>
                    <a:xfrm>
                      <a:off x="0" y="0"/>
                      <a:ext cx="5486400" cy="278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6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3E </w:t>
      </w:r>
      <w:r>
        <w:rPr>
          <w:rStyle w:val="any"/>
          <w:rFonts w:ascii="PMingLiU" w:eastAsia="PMingLiU" w:hAnsi="PMingLiU" w:cs="PMingLiU"/>
          <w:spacing w:val="8"/>
          <w:sz w:val="23"/>
          <w:szCs w:val="23"/>
        </w:rPr>
        <w:t>中蛋白质印迹中显示的某些</w:t>
      </w:r>
      <w:r>
        <w:rPr>
          <w:rStyle w:val="any"/>
          <w:rFonts w:ascii="Times New Roman" w:eastAsia="Times New Roman" w:hAnsi="Times New Roman" w:cs="Times New Roman"/>
          <w:spacing w:val="8"/>
          <w:sz w:val="23"/>
          <w:szCs w:val="23"/>
        </w:rPr>
        <w:t xml:space="preserve"> β-</w:t>
      </w:r>
      <w:r>
        <w:rPr>
          <w:rStyle w:val="any"/>
          <w:rFonts w:ascii="PMingLiU" w:eastAsia="PMingLiU" w:hAnsi="PMingLiU" w:cs="PMingLiU"/>
          <w:spacing w:val="8"/>
          <w:sz w:val="23"/>
          <w:szCs w:val="23"/>
        </w:rPr>
        <w:t>肌动蛋白控制数据与不同研究机构的不同作者撰写的其他文章中以不同形式出现的数据惊人相似，这些文章在本文提交给分子医学报告之前已经在其他地方发表。由于上述数据显然之前已经发表过，</w:t>
      </w:r>
      <w:r>
        <w:rPr>
          <w:rStyle w:val="any"/>
          <w:rFonts w:ascii="Times New Roman" w:eastAsia="Times New Roman" w:hAnsi="Times New Roman" w:cs="Times New Roman"/>
          <w:spacing w:val="8"/>
          <w:sz w:val="23"/>
          <w:szCs w:val="23"/>
        </w:rPr>
        <w:t xml:space="preserve">Molecular Medicine Reports </w:t>
      </w:r>
      <w:r>
        <w:rPr>
          <w:rStyle w:val="any"/>
          <w:rFonts w:ascii="PMingLiU" w:eastAsia="PMingLiU" w:hAnsi="PMingLiU" w:cs="PMingLiU"/>
          <w:spacing w:val="8"/>
          <w:sz w:val="23"/>
          <w:szCs w:val="23"/>
        </w:rPr>
        <w:t>的编辑决定从该杂志上撤回这篇论文。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https://www.spandidos-publications.com/10.3892/mmr.2025.13504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2491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6774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6&amp;sn=976012f1f54fb293b127908e38643e24&amp;chksm=cf87e255fe98c401102530232de14bec5454c44ee95a7c052a53da700721f2c7186ab1e35f42&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