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2831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1&amp;sn=eec224cb929e39a2c0f008e08dc3f74c&amp;chksm=cf168ffea7643ce3e86339abefaa937125ea082d1da1dcbca63bf0b8bc54f7f52915f6c44672&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