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158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08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1C 中的面板正常、病例 1 和肿瘤、病例 1 在旋转时似乎与 [1] 中图 6 中的面板 H716 和 CO802 D5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中的面板载体、GIST-T1 在旋转时似乎与 [2] 中图 3B 中的面板 mir-9-5p 模拟对照、MKN-45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中的面板载体、GIST-882 在旋转时似乎与 [3] 中图 4E 中的面板 HEC1A、si-TTB-AS1+miR-NC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3E 中的面板 BRD4 在旋转时似乎与 [4] 中图 3A 的第一个面板重叠；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4C 中的面板 Vector、BRD4 和 BRD4、BRD4 在旋转时似乎与 [5] 中图 4 的面板 C 和 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7A 中的四个面板在旋转时似乎与 [5] 中图 3 中的面板 24?h、BRAF V600E、24?h、pEGFR 和 24?h、EGFR 以及图 4 中的 Ischemia、BRAF V600E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3F 中的两个面板在旋转时似乎与 [6] 中图 3A 的第二和第三个面板重叠。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https://www.nature.com/articles/s41419-025-07520-4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2&amp;sn=edfe72e592c63ae6e4bfa2b7490ff627&amp;chksm=96aec24e52430f50340403c9342e014e1b57e17526a145c8dd19256df9b87c58f8519e01bf08&amp;scene=126&amp;sessionid=17436994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