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23177"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0e9b055f2bed12b08762323b23958ca7e5770ca6f7801f0dc6a46e8d614d50ef85d327cd83&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