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18298"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20a06d143ad4b50d39b8a673c91230a7ed98990b64776c08ab184854db6b1a3ffcf9b50e45&amp;scene=126&amp;sessionid=17436996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