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07797"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84ef273ef132f614fdccf01c6d75617ce2c7a28d56a20725a24cac89054aa0887982ca8032&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