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图片存疑，昆明医科大学附属曲靖医院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Kaihua Zhon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研究是否经得起考验？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18:26:00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近日，有研究者在科研匿名评价平台上指出，昆明医科大学附属曲靖医院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Cancer Biomarkers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》上的一篇论文，其图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的荧光图片存在重叠问题。这一质疑引发了学术圈的关注。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《沉默环状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RNA circPVT1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通过吸附微小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RNA1208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增强非小细胞肺癌的放射敏感性》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(Silencing circular RNA circPVT1 enhances radiosensitivity of nonsmall cell lung cancer by sponging microRNA1208)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作者信息：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Kaihua Zhong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（昆明医科大学附属曲靖医院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Kaihua Zhong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（昆明医科大学附属曲靖医院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第一单位：昆明医科大学附属曲靖医院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曲靖市第一人民医院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2387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72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科研匿名评价平台上的用户指出，这篇文章中的图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存在明显的图像重叠问题，具体表现为荧光图像的部分区域重复出现。他们认为，这可能表明作者在实验数据的处理或呈现过程中存在瑕疵，甚至可能涉及图片数据的重复使用或伪造行为。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334000" cy="652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68&amp;idx=1&amp;sn=7490b1e9407cc2822597954409c1cf61&amp;chksm=8223f3fdb1146bc482b3299df47d6337b4c7a8a77241637b94fc787cd0d47cb4d25bbd2e531e&amp;scene=126&amp;sessionid=17436985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