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聚焦山东中医药大学：研究团队文章图片重叠，学术严谨性待考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11:00:00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43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783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2023 年 4 月 26 日，山东中医药大学 Zhang Rui Xue 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Scientific reports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Intravitreal injection of fibrillin 2 (Fbn2) recombinant protein for therapy of retinopathy in a retina-specific Fbn2 knock-down mouse model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78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597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10562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53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5590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13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https://pubpeer.com/publications/5094175A648A8E846D9EA78F298360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281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696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00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48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308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507&amp;idx=1&amp;sn=3c6f5ef55d39f393162f553e9eb19473&amp;chksm=c31455255a5e187f1a130f13746263610949f18e721143b5689ffb8d6b10906a7ad1147faaf4&amp;scene=126&amp;sessionid=17436984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