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山东烟台山医院放射治疗科</w:t>
        </w:r>
        <w:r>
          <w:rPr>
            <w:rStyle w:val="a"/>
            <w:rFonts w:ascii="Times New Roman" w:eastAsia="Times New Roman" w:hAnsi="Times New Roman" w:cs="Times New Roman"/>
            <w:b w:val="0"/>
            <w:bCs w:val="0"/>
            <w:spacing w:val="8"/>
          </w:rPr>
          <w:t>Skin Res Technol</w:t>
        </w:r>
        <w:r>
          <w:rPr>
            <w:rStyle w:val="a"/>
            <w:rFonts w:ascii="PMingLiU" w:eastAsia="PMingLiU" w:hAnsi="PMingLiU" w:cs="PMingLiU"/>
            <w:b w:val="0"/>
            <w:bCs w:val="0"/>
            <w:spacing w:val="8"/>
          </w:rPr>
          <w:t>论文结果不可靠撤回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2025-03-30 10:51:19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553"/>
        <w:gridCol w:w="29127"/>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8464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山东烟台山医院放射治疗科</w:t>
            </w:r>
            <w:r>
              <w:rPr>
                <w:rStyle w:val="any"/>
                <w:b/>
                <w:bCs/>
                <w:i w:val="0"/>
                <w:iCs w:val="0"/>
                <w:caps w:val="0"/>
                <w:smallCaps w:val="0"/>
                <w:color w:val="000000"/>
                <w:spacing w:val="8"/>
                <w:sz w:val="28"/>
                <w:szCs w:val="28"/>
              </w:rPr>
              <w:t>Skin Res Technol</w:t>
            </w:r>
            <w:r>
              <w:rPr>
                <w:rStyle w:val="any"/>
                <w:rFonts w:ascii="宋体" w:eastAsia="宋体" w:hAnsi="宋体" w:cs="宋体"/>
                <w:b/>
                <w:bCs/>
                <w:i w:val="0"/>
                <w:iCs w:val="0"/>
                <w:caps w:val="0"/>
                <w:smallCaps w:val="0"/>
                <w:color w:val="000000"/>
                <w:spacing w:val="8"/>
                <w:sz w:val="28"/>
                <w:szCs w:val="28"/>
              </w:rPr>
              <w:t>论文结果不可靠撤回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 bibliometric analysis of global research on microbial immune microenvironment in melanoma from 2012 to 2022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2012-2022</w:t>
            </w:r>
            <w:r>
              <w:rPr>
                <w:rStyle w:val="any"/>
                <w:rFonts w:ascii="PMingLiU" w:eastAsia="PMingLiU" w:hAnsi="PMingLiU" w:cs="PMingLiU"/>
                <w:b w:val="0"/>
                <w:bCs w:val="0"/>
                <w:i w:val="0"/>
                <w:iCs w:val="0"/>
                <w:caps w:val="0"/>
                <w:smallCaps w:val="0"/>
                <w:color w:val="111111"/>
                <w:spacing w:val="8"/>
                <w:sz w:val="21"/>
                <w:szCs w:val="21"/>
              </w:rPr>
              <w:t>年黑色素瘤微生物免疫微环境全球研究文献计量分析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黑色素瘤是一种侵袭性恶性肿瘤，主要影响皮肤、粘膜和色素上皮。肿瘤微生物微环境包括栖息在肿瘤附近的微生物和影响其相互作用的环境因素。新出现的证据强调了微生物免疫微环境在黑色素瘤中的关键作用。方法：我们利用</w:t>
            </w:r>
            <w:r>
              <w:rPr>
                <w:rStyle w:val="any"/>
                <w:rFonts w:ascii="Tahoma" w:eastAsia="Tahoma" w:hAnsi="Tahoma" w:cs="Tahoma"/>
                <w:b w:val="0"/>
                <w:bCs w:val="0"/>
                <w:i w:val="0"/>
                <w:iCs w:val="0"/>
                <w:caps w:val="0"/>
                <w:smallCaps w:val="0"/>
                <w:color w:val="111111"/>
                <w:spacing w:val="8"/>
                <w:sz w:val="21"/>
                <w:szCs w:val="21"/>
              </w:rPr>
              <w:t>Web of Science</w:t>
            </w:r>
            <w:r>
              <w:rPr>
                <w:rStyle w:val="any"/>
                <w:rFonts w:ascii="PMingLiU" w:eastAsia="PMingLiU" w:hAnsi="PMingLiU" w:cs="PMingLiU"/>
                <w:b w:val="0"/>
                <w:bCs w:val="0"/>
                <w:i w:val="0"/>
                <w:iCs w:val="0"/>
                <w:caps w:val="0"/>
                <w:smallCaps w:val="0"/>
                <w:color w:val="111111"/>
                <w:spacing w:val="8"/>
                <w:sz w:val="21"/>
                <w:szCs w:val="21"/>
              </w:rPr>
              <w:t>核心合集对</w:t>
            </w:r>
            <w:r>
              <w:rPr>
                <w:rStyle w:val="any"/>
                <w:rFonts w:ascii="Tahoma" w:eastAsia="Tahoma" w:hAnsi="Tahoma" w:cs="Tahoma"/>
                <w:b w:val="0"/>
                <w:bCs w:val="0"/>
                <w:i w:val="0"/>
                <w:iCs w:val="0"/>
                <w:caps w:val="0"/>
                <w:smallCaps w:val="0"/>
                <w:color w:val="111111"/>
                <w:spacing w:val="8"/>
                <w:sz w:val="21"/>
                <w:szCs w:val="21"/>
              </w:rPr>
              <w:t>2012</w:t>
            </w:r>
            <w:r>
              <w:rPr>
                <w:rStyle w:val="any"/>
                <w:rFonts w:ascii="PMingLiU" w:eastAsia="PMingLiU" w:hAnsi="PMingLiU" w:cs="PMingLiU"/>
                <w:b w:val="0"/>
                <w:bCs w:val="0"/>
                <w:i w:val="0"/>
                <w:iCs w:val="0"/>
                <w:caps w:val="0"/>
                <w:smallCaps w:val="0"/>
                <w:color w:val="111111"/>
                <w:spacing w:val="8"/>
                <w:sz w:val="21"/>
                <w:szCs w:val="21"/>
              </w:rPr>
              <w:t>年至</w:t>
            </w:r>
            <w:r>
              <w:rPr>
                <w:rStyle w:val="any"/>
                <w:rFonts w:ascii="Tahoma" w:eastAsia="Tahoma" w:hAnsi="Tahoma" w:cs="Tahoma"/>
                <w:b w:val="0"/>
                <w:bCs w:val="0"/>
                <w:i w:val="0"/>
                <w:iCs w:val="0"/>
                <w:caps w:val="0"/>
                <w:smallCaps w:val="0"/>
                <w:color w:val="111111"/>
                <w:spacing w:val="8"/>
                <w:sz w:val="21"/>
                <w:szCs w:val="21"/>
              </w:rPr>
              <w:t>2022</w:t>
            </w:r>
            <w:r>
              <w:rPr>
                <w:rStyle w:val="any"/>
                <w:rFonts w:ascii="PMingLiU" w:eastAsia="PMingLiU" w:hAnsi="PMingLiU" w:cs="PMingLiU"/>
                <w:b w:val="0"/>
                <w:bCs w:val="0"/>
                <w:i w:val="0"/>
                <w:iCs w:val="0"/>
                <w:caps w:val="0"/>
                <w:smallCaps w:val="0"/>
                <w:color w:val="111111"/>
                <w:spacing w:val="8"/>
                <w:sz w:val="21"/>
                <w:szCs w:val="21"/>
              </w:rPr>
              <w:t>年发表的学术著作进行了广泛的回顾。随后，我们使用了</w:t>
            </w:r>
            <w:r>
              <w:rPr>
                <w:rStyle w:val="any"/>
                <w:rFonts w:ascii="Tahoma" w:eastAsia="Tahoma" w:hAnsi="Tahoma" w:cs="Tahoma"/>
                <w:b w:val="0"/>
                <w:bCs w:val="0"/>
                <w:i w:val="0"/>
                <w:iCs w:val="0"/>
                <w:caps w:val="0"/>
                <w:smallCaps w:val="0"/>
                <w:color w:val="111111"/>
                <w:spacing w:val="8"/>
                <w:sz w:val="21"/>
                <w:szCs w:val="21"/>
              </w:rPr>
              <w:t>VOSviewer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CiteSpace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R</w:t>
            </w:r>
            <w:r>
              <w:rPr>
                <w:rStyle w:val="any"/>
                <w:rFonts w:ascii="PMingLiU" w:eastAsia="PMingLiU" w:hAnsi="PMingLiU" w:cs="PMingLiU"/>
                <w:b w:val="0"/>
                <w:bCs w:val="0"/>
                <w:i w:val="0"/>
                <w:iCs w:val="0"/>
                <w:caps w:val="0"/>
                <w:smallCaps w:val="0"/>
                <w:color w:val="111111"/>
                <w:spacing w:val="8"/>
                <w:sz w:val="21"/>
                <w:szCs w:val="21"/>
              </w:rPr>
              <w:t>编程语言等分析工具来审查该领域的主流研究模式。结果：共检索到</w:t>
            </w:r>
            <w:r>
              <w:rPr>
                <w:rStyle w:val="any"/>
                <w:rFonts w:ascii="Tahoma" w:eastAsia="Tahoma" w:hAnsi="Tahoma" w:cs="Tahoma"/>
                <w:b w:val="0"/>
                <w:bCs w:val="0"/>
                <w:i w:val="0"/>
                <w:iCs w:val="0"/>
                <w:caps w:val="0"/>
                <w:smallCaps w:val="0"/>
                <w:color w:val="111111"/>
                <w:spacing w:val="8"/>
                <w:sz w:val="21"/>
                <w:szCs w:val="21"/>
              </w:rPr>
              <w:t>513</w:t>
            </w:r>
            <w:r>
              <w:rPr>
                <w:rStyle w:val="any"/>
                <w:rFonts w:ascii="PMingLiU" w:eastAsia="PMingLiU" w:hAnsi="PMingLiU" w:cs="PMingLiU"/>
                <w:b w:val="0"/>
                <w:bCs w:val="0"/>
                <w:i w:val="0"/>
                <w:iCs w:val="0"/>
                <w:caps w:val="0"/>
                <w:smallCaps w:val="0"/>
                <w:color w:val="111111"/>
                <w:spacing w:val="8"/>
                <w:sz w:val="21"/>
                <w:szCs w:val="21"/>
              </w:rPr>
              <w:t>篇文章，其中美国和中国的贡献显著。哈佛大学是贡献最大的机构，而《科学》杂志被引用最多。目前这一领域的研究主要集中在两个主要领域：肠道微生物群和与黑色素瘤治疗有关的</w:t>
            </w:r>
            <w:r>
              <w:rPr>
                <w:rStyle w:val="any"/>
                <w:rFonts w:ascii="Tahoma" w:eastAsia="Tahoma" w:hAnsi="Tahoma" w:cs="Tahoma"/>
                <w:b w:val="0"/>
                <w:bCs w:val="0"/>
                <w:i w:val="0"/>
                <w:iCs w:val="0"/>
                <w:caps w:val="0"/>
                <w:smallCaps w:val="0"/>
                <w:color w:val="111111"/>
                <w:spacing w:val="8"/>
                <w:sz w:val="21"/>
                <w:szCs w:val="21"/>
              </w:rPr>
              <w:t>PD-L1</w:t>
            </w:r>
            <w:r>
              <w:rPr>
                <w:rStyle w:val="any"/>
                <w:rFonts w:ascii="PMingLiU" w:eastAsia="PMingLiU" w:hAnsi="PMingLiU" w:cs="PMingLiU"/>
                <w:b w:val="0"/>
                <w:bCs w:val="0"/>
                <w:i w:val="0"/>
                <w:iCs w:val="0"/>
                <w:caps w:val="0"/>
                <w:smallCaps w:val="0"/>
                <w:color w:val="111111"/>
                <w:spacing w:val="8"/>
                <w:sz w:val="21"/>
                <w:szCs w:val="21"/>
              </w:rPr>
              <w:t>途径。结论：本研究对全球免疫微环境的研究现状进行了广泛的分析和概述，重点关注黑色素瘤中的微生物。它强调了利用微生物免疫微环境在黑色素瘤中的潜力的前景。这些发现为在这个动态领域推进科学探究和完善临床方法提供了宝贵的见解和指导。</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山东省烟台山医院放射治疗科。</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同济大学医学院上海东方医院整形外科，上海</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Skin Res 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结果不可靠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）在线发表，经皮肤研究与技术公司同意，已被撤回；和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文章发表后，该杂志意识到文献计量分析的结果无法通过文章中提供的搜索查询独立复制。应要求，作者提供了研究对象的文章清单，发现其中包含的文章比论文中报告的要少得多。此外，其中几篇文章被发现不符合研究的纳入标准。因此，由于其发现的不可靠性，该文章被撤回。提交人已获悉这一决定。</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64934" name=""/>
                          <pic:cNvPicPr>
                            <a:picLocks noChangeAspect="1"/>
                          </pic:cNvPicPr>
                        </pic:nvPicPr>
                        <pic:blipFill>
                          <a:blip xmlns:r="http://schemas.openxmlformats.org/officeDocument/2006/relationships" r:embed="rId7"/>
                          <a:stretch>
                            <a:fillRect/>
                          </a:stretch>
                        </pic:blipFill>
                        <pic:spPr>
                          <a:xfrm>
                            <a:off x="0" y="0"/>
                            <a:ext cx="3657029" cy="1635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23457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31215" name=""/>
                          <pic:cNvPicPr>
                            <a:picLocks noChangeAspect="1"/>
                          </pic:cNvPicPr>
                        </pic:nvPicPr>
                        <pic:blipFill>
                          <a:blip xmlns:r="http://schemas.openxmlformats.org/officeDocument/2006/relationships" r:embed="rId8"/>
                          <a:stretch>
                            <a:fillRect/>
                          </a:stretch>
                        </pic:blipFill>
                        <pic:spPr>
                          <a:xfrm>
                            <a:off x="0" y="0"/>
                            <a:ext cx="3653219" cy="23457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2001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2854"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4136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90&amp;idx=1&amp;sn=e9cdaa7973eec8e7e0b1fcc5d9850b3d&amp;chksm=c0cc17a13e9e725eaee5326a82924eb697a0146055c4a6355796279ff948a38268449549b799&amp;scene=126&amp;sessionid=17436985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