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没有患者数据所有权，北京天坛医院骨科</w:t>
        </w:r>
        <w:r>
          <w:rPr>
            <w:rStyle w:val="a"/>
            <w:rFonts w:ascii="Times New Roman" w:eastAsia="Times New Roman" w:hAnsi="Times New Roman" w:cs="Times New Roman"/>
            <w:b w:val="0"/>
            <w:bCs w:val="0"/>
            <w:spacing w:val="8"/>
          </w:rPr>
          <w:t>Int Orthop</w:t>
        </w:r>
        <w:r>
          <w:rPr>
            <w:rStyle w:val="a"/>
            <w:rFonts w:ascii="PMingLiU" w:eastAsia="PMingLiU" w:hAnsi="PMingLiU" w:cs="PMingLiU"/>
            <w:b w:val="0"/>
            <w:bCs w:val="0"/>
            <w:spacing w:val="8"/>
          </w:rPr>
          <w:t>论文作者主动撤回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09:30:52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813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97702"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没有患者数据所有权，</w:t>
            </w:r>
            <w:r>
              <w:rPr>
                <w:rStyle w:val="any"/>
                <w:rFonts w:ascii="PMingLiU" w:eastAsia="PMingLiU" w:hAnsi="PMingLiU" w:cs="PMingLiU"/>
                <w:b/>
                <w:bCs/>
                <w:i w:val="0"/>
                <w:iCs w:val="0"/>
                <w:caps w:val="0"/>
                <w:smallCaps w:val="0"/>
                <w:color w:val="111111"/>
                <w:spacing w:val="8"/>
                <w:sz w:val="28"/>
                <w:szCs w:val="28"/>
              </w:rPr>
              <w:t>北京天坛医院骨科</w:t>
            </w:r>
            <w:r>
              <w:rPr>
                <w:rStyle w:val="any"/>
                <w:b/>
                <w:bCs/>
                <w:i w:val="0"/>
                <w:iCs w:val="0"/>
                <w:caps w:val="0"/>
                <w:smallCaps w:val="0"/>
                <w:color w:val="000000"/>
                <w:spacing w:val="8"/>
                <w:sz w:val="28"/>
                <w:szCs w:val="28"/>
              </w:rPr>
              <w:t>Int Orthop</w:t>
            </w:r>
            <w:r>
              <w:rPr>
                <w:rStyle w:val="any"/>
                <w:rFonts w:ascii="宋体" w:eastAsia="宋体" w:hAnsi="宋体" w:cs="宋体"/>
                <w:b/>
                <w:bCs/>
                <w:i w:val="0"/>
                <w:iCs w:val="0"/>
                <w:caps w:val="0"/>
                <w:smallCaps w:val="0"/>
                <w:color w:val="000000"/>
                <w:spacing w:val="8"/>
                <w:sz w:val="28"/>
                <w:szCs w:val="28"/>
              </w:rPr>
              <w:t>论文作者主动撤回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111111"/>
                <w:spacing w:val="8"/>
                <w:kern w:val="36"/>
                <w:sz w:val="21"/>
                <w:szCs w:val="21"/>
              </w:rPr>
              <w:t>Impact of congenital spinal stenosis on the outcome of three-level anterior cervical discectomy and fusion in patients with cervical spondylotic myelopathy: a retrospective study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先天性椎管狭窄对脊髓型颈椎病三节段前路椎间盘切除融合术疗效影响的回顾性研究</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目的：探讨先天性颈椎管狭窄症（</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）是否影响脊髓型颈椎病（</w:t>
            </w:r>
            <w:r>
              <w:rPr>
                <w:rStyle w:val="any"/>
                <w:rFonts w:ascii="Tahoma" w:eastAsia="Tahoma" w:hAnsi="Tahoma" w:cs="Tahoma"/>
                <w:b w:val="0"/>
                <w:bCs w:val="0"/>
                <w:i w:val="0"/>
                <w:iCs w:val="0"/>
                <w:caps w:val="0"/>
                <w:smallCaps w:val="0"/>
                <w:color w:val="111111"/>
                <w:spacing w:val="8"/>
                <w:sz w:val="21"/>
                <w:szCs w:val="21"/>
              </w:rPr>
              <w:t>CSM</w:t>
            </w:r>
            <w:r>
              <w:rPr>
                <w:rStyle w:val="any"/>
                <w:rFonts w:ascii="PMingLiU" w:eastAsia="PMingLiU" w:hAnsi="PMingLiU" w:cs="PMingLiU"/>
                <w:b w:val="0"/>
                <w:bCs w:val="0"/>
                <w:i w:val="0"/>
                <w:iCs w:val="0"/>
                <w:caps w:val="0"/>
                <w:smallCaps w:val="0"/>
                <w:color w:val="111111"/>
                <w:spacing w:val="8"/>
                <w:sz w:val="21"/>
                <w:szCs w:val="21"/>
              </w:rPr>
              <w:t>）患者三级颈椎前路椎间盘切除融合术（</w:t>
            </w:r>
            <w:r>
              <w:rPr>
                <w:rStyle w:val="any"/>
                <w:rFonts w:ascii="Tahoma" w:eastAsia="Tahoma" w:hAnsi="Tahoma" w:cs="Tahoma"/>
                <w:b w:val="0"/>
                <w:bCs w:val="0"/>
                <w:i w:val="0"/>
                <w:iCs w:val="0"/>
                <w:caps w:val="0"/>
                <w:smallCaps w:val="0"/>
                <w:color w:val="111111"/>
                <w:spacing w:val="8"/>
                <w:sz w:val="21"/>
                <w:szCs w:val="21"/>
              </w:rPr>
              <w:t>ACDF</w:t>
            </w:r>
            <w:r>
              <w:rPr>
                <w:rStyle w:val="any"/>
                <w:rFonts w:ascii="PMingLiU" w:eastAsia="PMingLiU" w:hAnsi="PMingLiU" w:cs="PMingLiU"/>
                <w:b w:val="0"/>
                <w:bCs w:val="0"/>
                <w:i w:val="0"/>
                <w:iCs w:val="0"/>
                <w:caps w:val="0"/>
                <w:smallCaps w:val="0"/>
                <w:color w:val="111111"/>
                <w:spacing w:val="8"/>
                <w:sz w:val="21"/>
                <w:szCs w:val="21"/>
              </w:rPr>
              <w:t>）的疗效。方法：对</w:t>
            </w:r>
            <w:r>
              <w:rPr>
                <w:rStyle w:val="any"/>
                <w:rFonts w:ascii="Tahoma" w:eastAsia="Tahoma" w:hAnsi="Tahoma" w:cs="Tahoma"/>
                <w:b w:val="0"/>
                <w:bCs w:val="0"/>
                <w:i w:val="0"/>
                <w:iCs w:val="0"/>
                <w:caps w:val="0"/>
                <w:smallCaps w:val="0"/>
                <w:color w:val="111111"/>
                <w:spacing w:val="8"/>
                <w:sz w:val="21"/>
                <w:szCs w:val="21"/>
              </w:rPr>
              <w:t>2019</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月至</w:t>
            </w:r>
            <w:r>
              <w:rPr>
                <w:rStyle w:val="any"/>
                <w:rFonts w:ascii="Tahoma" w:eastAsia="Tahoma" w:hAnsi="Tahoma" w:cs="Tahoma"/>
                <w:b w:val="0"/>
                <w:bCs w:val="0"/>
                <w:i w:val="0"/>
                <w:iCs w:val="0"/>
                <w:caps w:val="0"/>
                <w:smallCaps w:val="0"/>
                <w:color w:val="111111"/>
                <w:spacing w:val="8"/>
                <w:sz w:val="21"/>
                <w:szCs w:val="21"/>
              </w:rPr>
              <w:t>2023</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月期间接受三级</w:t>
            </w:r>
            <w:r>
              <w:rPr>
                <w:rStyle w:val="any"/>
                <w:rFonts w:ascii="Tahoma" w:eastAsia="Tahoma" w:hAnsi="Tahoma" w:cs="Tahoma"/>
                <w:b w:val="0"/>
                <w:bCs w:val="0"/>
                <w:i w:val="0"/>
                <w:iCs w:val="0"/>
                <w:caps w:val="0"/>
                <w:smallCaps w:val="0"/>
                <w:color w:val="111111"/>
                <w:spacing w:val="8"/>
                <w:sz w:val="21"/>
                <w:szCs w:val="21"/>
              </w:rPr>
              <w:t>ACDF</w:t>
            </w:r>
            <w:r>
              <w:rPr>
                <w:rStyle w:val="any"/>
                <w:rFonts w:ascii="PMingLiU" w:eastAsia="PMingLiU" w:hAnsi="PMingLiU" w:cs="PMingLiU"/>
                <w:b w:val="0"/>
                <w:bCs w:val="0"/>
                <w:i w:val="0"/>
                <w:iCs w:val="0"/>
                <w:caps w:val="0"/>
                <w:smallCaps w:val="0"/>
                <w:color w:val="111111"/>
                <w:spacing w:val="8"/>
                <w:sz w:val="21"/>
                <w:szCs w:val="21"/>
              </w:rPr>
              <w:t>治疗的</w:t>
            </w:r>
            <w:r>
              <w:rPr>
                <w:rStyle w:val="any"/>
                <w:rFonts w:ascii="Tahoma" w:eastAsia="Tahoma" w:hAnsi="Tahoma" w:cs="Tahoma"/>
                <w:b w:val="0"/>
                <w:bCs w:val="0"/>
                <w:i w:val="0"/>
                <w:iCs w:val="0"/>
                <w:caps w:val="0"/>
                <w:smallCaps w:val="0"/>
                <w:color w:val="111111"/>
                <w:spacing w:val="8"/>
                <w:sz w:val="21"/>
                <w:szCs w:val="21"/>
              </w:rPr>
              <w:t>117</w:t>
            </w:r>
            <w:r>
              <w:rPr>
                <w:rStyle w:val="any"/>
                <w:rFonts w:ascii="PMingLiU" w:eastAsia="PMingLiU" w:hAnsi="PMingLiU" w:cs="PMingLiU"/>
                <w:b w:val="0"/>
                <w:bCs w:val="0"/>
                <w:i w:val="0"/>
                <w:iCs w:val="0"/>
                <w:caps w:val="0"/>
                <w:smallCaps w:val="0"/>
                <w:color w:val="111111"/>
                <w:spacing w:val="8"/>
                <w:sz w:val="21"/>
                <w:szCs w:val="21"/>
              </w:rPr>
              <w:t>例</w:t>
            </w:r>
            <w:r>
              <w:rPr>
                <w:rStyle w:val="any"/>
                <w:rFonts w:ascii="Tahoma" w:eastAsia="Tahoma" w:hAnsi="Tahoma" w:cs="Tahoma"/>
                <w:b w:val="0"/>
                <w:bCs w:val="0"/>
                <w:i w:val="0"/>
                <w:iCs w:val="0"/>
                <w:caps w:val="0"/>
                <w:smallCaps w:val="0"/>
                <w:color w:val="111111"/>
                <w:spacing w:val="8"/>
                <w:sz w:val="21"/>
                <w:szCs w:val="21"/>
              </w:rPr>
              <w:t>CSM</w:t>
            </w:r>
            <w:r>
              <w:rPr>
                <w:rStyle w:val="any"/>
                <w:rFonts w:ascii="PMingLiU" w:eastAsia="PMingLiU" w:hAnsi="PMingLiU" w:cs="PMingLiU"/>
                <w:b w:val="0"/>
                <w:bCs w:val="0"/>
                <w:i w:val="0"/>
                <w:iCs w:val="0"/>
                <w:caps w:val="0"/>
                <w:smallCaps w:val="0"/>
                <w:color w:val="111111"/>
                <w:spacing w:val="8"/>
                <w:sz w:val="21"/>
                <w:szCs w:val="21"/>
              </w:rPr>
              <w:t>患者进行回顾性检查。根据</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的存在对患者进行分组，</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的定义为巴甫洛夫比值</w:t>
            </w:r>
            <w:r>
              <w:rPr>
                <w:rStyle w:val="any"/>
                <w:rFonts w:ascii="Tahoma" w:eastAsia="Tahoma" w:hAnsi="Tahoma" w:cs="Tahoma"/>
                <w:b w:val="0"/>
                <w:bCs w:val="0"/>
                <w:i w:val="0"/>
                <w:iCs w:val="0"/>
                <w:caps w:val="0"/>
                <w:smallCaps w:val="0"/>
                <w:color w:val="111111"/>
                <w:spacing w:val="8"/>
                <w:sz w:val="21"/>
                <w:szCs w:val="21"/>
              </w:rPr>
              <w:t>≤0.75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组和非</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组分别有</w:t>
            </w:r>
            <w:r>
              <w:rPr>
                <w:rStyle w:val="any"/>
                <w:rFonts w:ascii="Tahoma" w:eastAsia="Tahoma" w:hAnsi="Tahoma" w:cs="Tahoma"/>
                <w:b w:val="0"/>
                <w:bCs w:val="0"/>
                <w:i w:val="0"/>
                <w:iCs w:val="0"/>
                <w:caps w:val="0"/>
                <w:smallCaps w:val="0"/>
                <w:color w:val="111111"/>
                <w:spacing w:val="8"/>
                <w:sz w:val="21"/>
                <w:szCs w:val="21"/>
              </w:rPr>
              <w:t>68</w:t>
            </w:r>
            <w:r>
              <w:rPr>
                <w:rStyle w:val="any"/>
                <w:rFonts w:ascii="PMingLiU" w:eastAsia="PMingLiU" w:hAnsi="PMingLiU" w:cs="PMingLiU"/>
                <w:b w:val="0"/>
                <w:bCs w:val="0"/>
                <w:i w:val="0"/>
                <w:iCs w:val="0"/>
                <w:caps w:val="0"/>
                <w:smallCaps w:val="0"/>
                <w:color w:val="111111"/>
                <w:spacing w:val="8"/>
                <w:sz w:val="21"/>
                <w:szCs w:val="21"/>
              </w:rPr>
              <w:t>名（</w:t>
            </w:r>
            <w:r>
              <w:rPr>
                <w:rStyle w:val="any"/>
                <w:rFonts w:ascii="Tahoma" w:eastAsia="Tahoma" w:hAnsi="Tahoma" w:cs="Tahoma"/>
                <w:b w:val="0"/>
                <w:bCs w:val="0"/>
                <w:i w:val="0"/>
                <w:iCs w:val="0"/>
                <w:caps w:val="0"/>
                <w:smallCaps w:val="0"/>
                <w:color w:val="111111"/>
                <w:spacing w:val="8"/>
                <w:sz w:val="21"/>
                <w:szCs w:val="21"/>
              </w:rPr>
              <w:t>58.1%</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49</w:t>
            </w:r>
            <w:r>
              <w:rPr>
                <w:rStyle w:val="any"/>
                <w:rFonts w:ascii="PMingLiU" w:eastAsia="PMingLiU" w:hAnsi="PMingLiU" w:cs="PMingLiU"/>
                <w:b w:val="0"/>
                <w:bCs w:val="0"/>
                <w:i w:val="0"/>
                <w:iCs w:val="0"/>
                <w:caps w:val="0"/>
                <w:smallCaps w:val="0"/>
                <w:color w:val="111111"/>
                <w:spacing w:val="8"/>
                <w:sz w:val="21"/>
                <w:szCs w:val="21"/>
              </w:rPr>
              <w:t>名（</w:t>
            </w:r>
            <w:r>
              <w:rPr>
                <w:rStyle w:val="any"/>
                <w:rFonts w:ascii="Tahoma" w:eastAsia="Tahoma" w:hAnsi="Tahoma" w:cs="Tahoma"/>
                <w:b w:val="0"/>
                <w:bCs w:val="0"/>
                <w:i w:val="0"/>
                <w:iCs w:val="0"/>
                <w:caps w:val="0"/>
                <w:smallCaps w:val="0"/>
                <w:color w:val="111111"/>
                <w:spacing w:val="8"/>
                <w:sz w:val="21"/>
                <w:szCs w:val="21"/>
              </w:rPr>
              <w:t>41.9%</w:t>
            </w:r>
            <w:r>
              <w:rPr>
                <w:rStyle w:val="any"/>
                <w:rFonts w:ascii="PMingLiU" w:eastAsia="PMingLiU" w:hAnsi="PMingLiU" w:cs="PMingLiU"/>
                <w:b w:val="0"/>
                <w:bCs w:val="0"/>
                <w:i w:val="0"/>
                <w:iCs w:val="0"/>
                <w:caps w:val="0"/>
                <w:smallCaps w:val="0"/>
                <w:color w:val="111111"/>
                <w:spacing w:val="8"/>
                <w:sz w:val="21"/>
                <w:szCs w:val="21"/>
              </w:rPr>
              <w:t>）患者。结果：两组在术后任何时间点的日本骨科协会（</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）评分均无显著差异（</w:t>
            </w:r>
            <w:r>
              <w:rPr>
                <w:rStyle w:val="any"/>
                <w:rFonts w:ascii="Tahoma" w:eastAsia="Tahoma" w:hAnsi="Tahoma" w:cs="Tahoma"/>
                <w:b w:val="0"/>
                <w:bCs w:val="0"/>
                <w:i w:val="0"/>
                <w:iCs w:val="0"/>
                <w:caps w:val="0"/>
                <w:smallCaps w:val="0"/>
                <w:color w:val="111111"/>
                <w:spacing w:val="8"/>
                <w:sz w:val="21"/>
                <w:szCs w:val="21"/>
              </w:rPr>
              <w:t>p&gt;0.05</w:t>
            </w:r>
            <w:r>
              <w:rPr>
                <w:rStyle w:val="any"/>
                <w:rFonts w:ascii="PMingLiU" w:eastAsia="PMingLiU" w:hAnsi="PMingLiU" w:cs="PMingLiU"/>
                <w:b w:val="0"/>
                <w:bCs w:val="0"/>
                <w:i w:val="0"/>
                <w:iCs w:val="0"/>
                <w:caps w:val="0"/>
                <w:smallCaps w:val="0"/>
                <w:color w:val="111111"/>
                <w:spacing w:val="8"/>
                <w:sz w:val="21"/>
                <w:szCs w:val="21"/>
              </w:rPr>
              <w:t>）。术后</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个月，</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组的</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改善率较低（</w:t>
            </w:r>
            <w:r>
              <w:rPr>
                <w:rStyle w:val="any"/>
                <w:rFonts w:ascii="Tahoma" w:eastAsia="Tahoma" w:hAnsi="Tahoma" w:cs="Tahoma"/>
                <w:b w:val="0"/>
                <w:bCs w:val="0"/>
                <w:i w:val="0"/>
                <w:iCs w:val="0"/>
                <w:caps w:val="0"/>
                <w:smallCaps w:val="0"/>
                <w:color w:val="111111"/>
                <w:spacing w:val="8"/>
                <w:sz w:val="21"/>
                <w:szCs w:val="21"/>
              </w:rPr>
              <w:t>41.7%</w:t>
            </w:r>
            <w:r>
              <w:rPr>
                <w:rStyle w:val="any"/>
                <w:rFonts w:ascii="PMingLiU" w:eastAsia="PMingLiU" w:hAnsi="PMingLiU" w:cs="PMingLiU"/>
                <w:b w:val="0"/>
                <w:bCs w:val="0"/>
                <w:i w:val="0"/>
                <w:iCs w:val="0"/>
                <w:caps w:val="0"/>
                <w:smallCaps w:val="0"/>
                <w:color w:val="111111"/>
                <w:spacing w:val="8"/>
                <w:sz w:val="21"/>
                <w:szCs w:val="21"/>
              </w:rPr>
              <w:t>对</w:t>
            </w:r>
            <w:r>
              <w:rPr>
                <w:rStyle w:val="any"/>
                <w:rFonts w:ascii="Tahoma" w:eastAsia="Tahoma" w:hAnsi="Tahoma" w:cs="Tahoma"/>
                <w:b w:val="0"/>
                <w:bCs w:val="0"/>
                <w:i w:val="0"/>
                <w:iCs w:val="0"/>
                <w:caps w:val="0"/>
                <w:smallCaps w:val="0"/>
                <w:color w:val="111111"/>
                <w:spacing w:val="8"/>
                <w:sz w:val="21"/>
                <w:szCs w:val="21"/>
              </w:rPr>
              <w:t>45.5%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），但一个月后的任何随访时间点均无差异。多变量逻辑回归确定术前年龄（</w:t>
            </w:r>
            <w:r>
              <w:rPr>
                <w:rStyle w:val="any"/>
                <w:rFonts w:ascii="Tahoma" w:eastAsia="Tahoma" w:hAnsi="Tahoma" w:cs="Tahoma"/>
                <w:b w:val="0"/>
                <w:bCs w:val="0"/>
                <w:i w:val="0"/>
                <w:iCs w:val="0"/>
                <w:caps w:val="0"/>
                <w:smallCaps w:val="0"/>
                <w:color w:val="111111"/>
                <w:spacing w:val="8"/>
                <w:sz w:val="21"/>
                <w:szCs w:val="21"/>
              </w:rPr>
              <w:t>OR=10.639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评分（</w:t>
            </w:r>
            <w:r>
              <w:rPr>
                <w:rStyle w:val="any"/>
                <w:rFonts w:ascii="Tahoma" w:eastAsia="Tahoma" w:hAnsi="Tahoma" w:cs="Tahoma"/>
                <w:b w:val="0"/>
                <w:bCs w:val="0"/>
                <w:i w:val="0"/>
                <w:iCs w:val="0"/>
                <w:caps w:val="0"/>
                <w:smallCaps w:val="0"/>
                <w:color w:val="111111"/>
                <w:spacing w:val="8"/>
                <w:sz w:val="21"/>
                <w:szCs w:val="21"/>
              </w:rPr>
              <w:t>OR=0.370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T2</w:t>
            </w:r>
            <w:r>
              <w:rPr>
                <w:rStyle w:val="any"/>
                <w:rFonts w:ascii="PMingLiU" w:eastAsia="PMingLiU" w:hAnsi="PMingLiU" w:cs="PMingLiU"/>
                <w:b w:val="0"/>
                <w:bCs w:val="0"/>
                <w:i w:val="0"/>
                <w:iCs w:val="0"/>
                <w:caps w:val="0"/>
                <w:smallCaps w:val="0"/>
                <w:color w:val="111111"/>
                <w:spacing w:val="8"/>
                <w:sz w:val="21"/>
                <w:szCs w:val="21"/>
              </w:rPr>
              <w:t>加权</w:t>
            </w:r>
            <w:r>
              <w:rPr>
                <w:rStyle w:val="any"/>
                <w:rFonts w:ascii="Tahoma" w:eastAsia="Tahoma" w:hAnsi="Tahoma" w:cs="Tahoma"/>
                <w:b w:val="0"/>
                <w:bCs w:val="0"/>
                <w:i w:val="0"/>
                <w:iCs w:val="0"/>
                <w:caps w:val="0"/>
                <w:smallCaps w:val="0"/>
                <w:color w:val="111111"/>
                <w:spacing w:val="8"/>
                <w:sz w:val="21"/>
                <w:szCs w:val="21"/>
              </w:rPr>
              <w:t>MRI</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T2-WI</w:t>
            </w:r>
            <w:r>
              <w:rPr>
                <w:rStyle w:val="any"/>
                <w:rFonts w:ascii="PMingLiU" w:eastAsia="PMingLiU" w:hAnsi="PMingLiU" w:cs="PMingLiU"/>
                <w:b w:val="0"/>
                <w:bCs w:val="0"/>
                <w:i w:val="0"/>
                <w:iCs w:val="0"/>
                <w:caps w:val="0"/>
                <w:smallCaps w:val="0"/>
                <w:color w:val="111111"/>
                <w:spacing w:val="8"/>
                <w:sz w:val="21"/>
                <w:szCs w:val="21"/>
              </w:rPr>
              <w:t>）脊髓信号强度（</w:t>
            </w:r>
            <w:r>
              <w:rPr>
                <w:rStyle w:val="any"/>
                <w:rFonts w:ascii="Tahoma" w:eastAsia="Tahoma" w:hAnsi="Tahoma" w:cs="Tahoma"/>
                <w:b w:val="0"/>
                <w:bCs w:val="0"/>
                <w:i w:val="0"/>
                <w:iCs w:val="0"/>
                <w:caps w:val="0"/>
                <w:smallCaps w:val="0"/>
                <w:color w:val="111111"/>
                <w:spacing w:val="8"/>
                <w:sz w:val="21"/>
                <w:szCs w:val="21"/>
              </w:rPr>
              <w:t>ISI</w:t>
            </w:r>
            <w:r>
              <w:rPr>
                <w:rStyle w:val="any"/>
                <w:rFonts w:ascii="PMingLiU" w:eastAsia="PMingLiU" w:hAnsi="PMingLiU" w:cs="PMingLiU"/>
                <w:b w:val="0"/>
                <w:bCs w:val="0"/>
                <w:i w:val="0"/>
                <w:iCs w:val="0"/>
                <w:caps w:val="0"/>
                <w:smallCaps w:val="0"/>
                <w:color w:val="111111"/>
                <w:spacing w:val="8"/>
                <w:sz w:val="21"/>
                <w:szCs w:val="21"/>
              </w:rPr>
              <w:t>）增加（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级：</w:t>
            </w:r>
            <w:r>
              <w:rPr>
                <w:rStyle w:val="any"/>
                <w:rFonts w:ascii="Tahoma" w:eastAsia="Tahoma" w:hAnsi="Tahoma" w:cs="Tahoma"/>
                <w:b w:val="0"/>
                <w:bCs w:val="0"/>
                <w:i w:val="0"/>
                <w:iCs w:val="0"/>
                <w:caps w:val="0"/>
                <w:smallCaps w:val="0"/>
                <w:color w:val="111111"/>
                <w:spacing w:val="8"/>
                <w:sz w:val="21"/>
                <w:szCs w:val="21"/>
              </w:rPr>
              <w:t>OR=6.135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级：</w:t>
            </w:r>
            <w:r>
              <w:rPr>
                <w:rStyle w:val="any"/>
                <w:rFonts w:ascii="Tahoma" w:eastAsia="Tahoma" w:hAnsi="Tahoma" w:cs="Tahoma"/>
                <w:b w:val="0"/>
                <w:bCs w:val="0"/>
                <w:i w:val="0"/>
                <w:iCs w:val="0"/>
                <w:caps w:val="0"/>
                <w:smallCaps w:val="0"/>
                <w:color w:val="111111"/>
                <w:spacing w:val="8"/>
                <w:sz w:val="21"/>
                <w:szCs w:val="21"/>
              </w:rPr>
              <w:t>OR=29.892</w:t>
            </w:r>
            <w:r>
              <w:rPr>
                <w:rStyle w:val="any"/>
                <w:rFonts w:ascii="PMingLiU" w:eastAsia="PMingLiU" w:hAnsi="PMingLiU" w:cs="PMingLiU"/>
                <w:b w:val="0"/>
                <w:bCs w:val="0"/>
                <w:i w:val="0"/>
                <w:iCs w:val="0"/>
                <w:caps w:val="0"/>
                <w:smallCaps w:val="0"/>
                <w:color w:val="111111"/>
                <w:spacing w:val="8"/>
                <w:sz w:val="21"/>
                <w:szCs w:val="21"/>
              </w:rPr>
              <w:t>）和脊髓压迫程度（</w:t>
            </w:r>
            <w:r>
              <w:rPr>
                <w:rStyle w:val="any"/>
                <w:rFonts w:ascii="Tahoma" w:eastAsia="Tahoma" w:hAnsi="Tahoma" w:cs="Tahoma"/>
                <w:b w:val="0"/>
                <w:bCs w:val="0"/>
                <w:i w:val="0"/>
                <w:iCs w:val="0"/>
                <w:caps w:val="0"/>
                <w:smallCaps w:val="0"/>
                <w:color w:val="111111"/>
                <w:spacing w:val="8"/>
                <w:sz w:val="21"/>
                <w:szCs w:val="21"/>
              </w:rPr>
              <w:t>30-60%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OR=17.919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≥60%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OR=46.624</w:t>
            </w:r>
            <w:r>
              <w:rPr>
                <w:rStyle w:val="any"/>
                <w:rFonts w:ascii="PMingLiU" w:eastAsia="PMingLiU" w:hAnsi="PMingLiU" w:cs="PMingLiU"/>
                <w:b w:val="0"/>
                <w:bCs w:val="0"/>
                <w:i w:val="0"/>
                <w:iCs w:val="0"/>
                <w:caps w:val="0"/>
                <w:smallCaps w:val="0"/>
                <w:color w:val="111111"/>
                <w:spacing w:val="8"/>
                <w:sz w:val="21"/>
                <w:szCs w:val="21"/>
              </w:rPr>
              <w:t>）是不良一年预后（</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恢复率</w:t>
            </w:r>
            <w:r>
              <w:rPr>
                <w:rStyle w:val="any"/>
                <w:rFonts w:ascii="Tahoma" w:eastAsia="Tahoma" w:hAnsi="Tahoma" w:cs="Tahoma"/>
                <w:b w:val="0"/>
                <w:bCs w:val="0"/>
                <w:i w:val="0"/>
                <w:iCs w:val="0"/>
                <w:caps w:val="0"/>
                <w:smallCaps w:val="0"/>
                <w:color w:val="111111"/>
                <w:spacing w:val="8"/>
                <w:sz w:val="21"/>
                <w:szCs w:val="21"/>
              </w:rPr>
              <w:t>&lt;50%</w:t>
            </w:r>
            <w:r>
              <w:rPr>
                <w:rStyle w:val="any"/>
                <w:rFonts w:ascii="PMingLiU" w:eastAsia="PMingLiU" w:hAnsi="PMingLiU" w:cs="PMingLiU"/>
                <w:b w:val="0"/>
                <w:bCs w:val="0"/>
                <w:i w:val="0"/>
                <w:iCs w:val="0"/>
                <w:caps w:val="0"/>
                <w:smallCaps w:val="0"/>
                <w:color w:val="111111"/>
                <w:spacing w:val="8"/>
                <w:sz w:val="21"/>
                <w:szCs w:val="21"/>
              </w:rPr>
              <w:t>）的独立预测因素。结论：虽然</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组早期</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改善较慢，但不影响</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年后的最终神经改善。因此，</w:t>
            </w:r>
            <w:r>
              <w:rPr>
                <w:rStyle w:val="any"/>
                <w:rFonts w:ascii="Tahoma" w:eastAsia="Tahoma" w:hAnsi="Tahoma" w:cs="Tahoma"/>
                <w:b w:val="0"/>
                <w:bCs w:val="0"/>
                <w:i w:val="0"/>
                <w:iCs w:val="0"/>
                <w:caps w:val="0"/>
                <w:smallCaps w:val="0"/>
                <w:color w:val="111111"/>
                <w:spacing w:val="8"/>
                <w:sz w:val="21"/>
                <w:szCs w:val="21"/>
              </w:rPr>
              <w:t>CCSS</w:t>
            </w:r>
            <w:r>
              <w:rPr>
                <w:rStyle w:val="any"/>
                <w:rFonts w:ascii="PMingLiU" w:eastAsia="PMingLiU" w:hAnsi="PMingLiU" w:cs="PMingLiU"/>
                <w:b w:val="0"/>
                <w:bCs w:val="0"/>
                <w:i w:val="0"/>
                <w:iCs w:val="0"/>
                <w:caps w:val="0"/>
                <w:smallCaps w:val="0"/>
                <w:color w:val="111111"/>
                <w:spacing w:val="8"/>
                <w:sz w:val="21"/>
                <w:szCs w:val="21"/>
              </w:rPr>
              <w:t>不应被视为</w:t>
            </w:r>
            <w:r>
              <w:rPr>
                <w:rStyle w:val="any"/>
                <w:rFonts w:ascii="Tahoma" w:eastAsia="Tahoma" w:hAnsi="Tahoma" w:cs="Tahoma"/>
                <w:b w:val="0"/>
                <w:bCs w:val="0"/>
                <w:i w:val="0"/>
                <w:iCs w:val="0"/>
                <w:caps w:val="0"/>
                <w:smallCaps w:val="0"/>
                <w:color w:val="111111"/>
                <w:spacing w:val="8"/>
                <w:sz w:val="21"/>
                <w:szCs w:val="21"/>
              </w:rPr>
              <w:t>CSM</w:t>
            </w:r>
            <w:r>
              <w:rPr>
                <w:rStyle w:val="any"/>
                <w:rFonts w:ascii="PMingLiU" w:eastAsia="PMingLiU" w:hAnsi="PMingLiU" w:cs="PMingLiU"/>
                <w:b w:val="0"/>
                <w:bCs w:val="0"/>
                <w:i w:val="0"/>
                <w:iCs w:val="0"/>
                <w:caps w:val="0"/>
                <w:smallCaps w:val="0"/>
                <w:color w:val="111111"/>
                <w:spacing w:val="8"/>
                <w:sz w:val="21"/>
                <w:szCs w:val="21"/>
              </w:rPr>
              <w:t>患者三级</w:t>
            </w:r>
            <w:r>
              <w:rPr>
                <w:rStyle w:val="any"/>
                <w:rFonts w:ascii="Tahoma" w:eastAsia="Tahoma" w:hAnsi="Tahoma" w:cs="Tahoma"/>
                <w:b w:val="0"/>
                <w:bCs w:val="0"/>
                <w:i w:val="0"/>
                <w:iCs w:val="0"/>
                <w:caps w:val="0"/>
                <w:smallCaps w:val="0"/>
                <w:color w:val="111111"/>
                <w:spacing w:val="8"/>
                <w:sz w:val="21"/>
                <w:szCs w:val="21"/>
              </w:rPr>
              <w:t>ACDF</w:t>
            </w:r>
            <w:r>
              <w:rPr>
                <w:rStyle w:val="any"/>
                <w:rFonts w:ascii="PMingLiU" w:eastAsia="PMingLiU" w:hAnsi="PMingLiU" w:cs="PMingLiU"/>
                <w:b w:val="0"/>
                <w:bCs w:val="0"/>
                <w:i w:val="0"/>
                <w:iCs w:val="0"/>
                <w:caps w:val="0"/>
                <w:smallCaps w:val="0"/>
                <w:color w:val="111111"/>
                <w:spacing w:val="8"/>
                <w:sz w:val="21"/>
                <w:szCs w:val="21"/>
              </w:rPr>
              <w:t>的禁忌症。影响一年预后的主要因素是术前年龄、</w:t>
            </w:r>
            <w:r>
              <w:rPr>
                <w:rStyle w:val="any"/>
                <w:rFonts w:ascii="Tahoma" w:eastAsia="Tahoma" w:hAnsi="Tahoma" w:cs="Tahoma"/>
                <w:b w:val="0"/>
                <w:bCs w:val="0"/>
                <w:i w:val="0"/>
                <w:iCs w:val="0"/>
                <w:caps w:val="0"/>
                <w:smallCaps w:val="0"/>
                <w:color w:val="111111"/>
                <w:spacing w:val="8"/>
                <w:sz w:val="21"/>
                <w:szCs w:val="21"/>
              </w:rPr>
              <w:t>JOA</w:t>
            </w:r>
            <w:r>
              <w:rPr>
                <w:rStyle w:val="any"/>
                <w:rFonts w:ascii="PMingLiU" w:eastAsia="PMingLiU" w:hAnsi="PMingLiU" w:cs="PMingLiU"/>
                <w:b w:val="0"/>
                <w:bCs w:val="0"/>
                <w:i w:val="0"/>
                <w:iCs w:val="0"/>
                <w:caps w:val="0"/>
                <w:smallCaps w:val="0"/>
                <w:color w:val="111111"/>
                <w:spacing w:val="8"/>
                <w:sz w:val="21"/>
                <w:szCs w:val="21"/>
              </w:rPr>
              <w:t>评分、</w:t>
            </w:r>
            <w:r>
              <w:rPr>
                <w:rStyle w:val="any"/>
                <w:rFonts w:ascii="Tahoma" w:eastAsia="Tahoma" w:hAnsi="Tahoma" w:cs="Tahoma"/>
                <w:b w:val="0"/>
                <w:bCs w:val="0"/>
                <w:i w:val="0"/>
                <w:iCs w:val="0"/>
                <w:caps w:val="0"/>
                <w:smallCaps w:val="0"/>
                <w:color w:val="111111"/>
                <w:spacing w:val="8"/>
                <w:sz w:val="21"/>
                <w:szCs w:val="21"/>
              </w:rPr>
              <w:t>ISI</w:t>
            </w:r>
            <w:r>
              <w:rPr>
                <w:rStyle w:val="any"/>
                <w:rFonts w:ascii="PMingLiU" w:eastAsia="PMingLiU" w:hAnsi="PMingLiU" w:cs="PMingLiU"/>
                <w:b w:val="0"/>
                <w:bCs w:val="0"/>
                <w:i w:val="0"/>
                <w:iCs w:val="0"/>
                <w:caps w:val="0"/>
                <w:smallCaps w:val="0"/>
                <w:color w:val="111111"/>
                <w:spacing w:val="8"/>
                <w:sz w:val="21"/>
                <w:szCs w:val="21"/>
              </w:rPr>
              <w:t>分级和脊髓压迫程度。</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北京市丰台区南四环路</w:t>
            </w:r>
            <w:r>
              <w:rPr>
                <w:rStyle w:val="any"/>
                <w:rFonts w:ascii="Tahoma" w:eastAsia="Tahoma" w:hAnsi="Tahoma" w:cs="Tahoma"/>
                <w:b w:val="0"/>
                <w:bCs w:val="0"/>
                <w:i w:val="0"/>
                <w:iCs w:val="0"/>
                <w:caps w:val="0"/>
                <w:smallCaps w:val="0"/>
                <w:color w:val="111111"/>
                <w:spacing w:val="8"/>
                <w:sz w:val="21"/>
                <w:szCs w:val="21"/>
              </w:rPr>
              <w:t>119</w:t>
            </w:r>
            <w:r>
              <w:rPr>
                <w:rStyle w:val="any"/>
                <w:rFonts w:ascii="PMingLiU" w:eastAsia="PMingLiU" w:hAnsi="PMingLiU" w:cs="PMingLiU"/>
                <w:b w:val="0"/>
                <w:bCs w:val="0"/>
                <w:i w:val="0"/>
                <w:iCs w:val="0"/>
                <w:caps w:val="0"/>
                <w:smallCaps w:val="0"/>
                <w:color w:val="111111"/>
                <w:spacing w:val="8"/>
                <w:sz w:val="21"/>
                <w:szCs w:val="21"/>
              </w:rPr>
              <w:t>号首都医科大学北京天坛医院骨科，邮编</w:t>
            </w:r>
            <w:r>
              <w:rPr>
                <w:rStyle w:val="any"/>
                <w:rFonts w:ascii="Tahoma" w:eastAsia="Tahoma" w:hAnsi="Tahoma" w:cs="Tahoma"/>
                <w:b w:val="0"/>
                <w:bCs w:val="0"/>
                <w:i w:val="0"/>
                <w:iCs w:val="0"/>
                <w:caps w:val="0"/>
                <w:smallCaps w:val="0"/>
                <w:color w:val="111111"/>
                <w:spacing w:val="8"/>
                <w:sz w:val="21"/>
                <w:szCs w:val="21"/>
              </w:rPr>
              <w:t>100070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北京市丰台区南四环路</w:t>
            </w:r>
            <w:r>
              <w:rPr>
                <w:rStyle w:val="any"/>
                <w:rFonts w:ascii="Tahoma" w:eastAsia="Tahoma" w:hAnsi="Tahoma" w:cs="Tahoma"/>
                <w:b w:val="0"/>
                <w:bCs w:val="0"/>
                <w:i w:val="0"/>
                <w:iCs w:val="0"/>
                <w:caps w:val="0"/>
                <w:smallCaps w:val="0"/>
                <w:color w:val="111111"/>
                <w:spacing w:val="8"/>
                <w:sz w:val="21"/>
                <w:szCs w:val="21"/>
              </w:rPr>
              <w:t>119</w:t>
            </w:r>
            <w:r>
              <w:rPr>
                <w:rStyle w:val="any"/>
                <w:rFonts w:ascii="PMingLiU" w:eastAsia="PMingLiU" w:hAnsi="PMingLiU" w:cs="PMingLiU"/>
                <w:b w:val="0"/>
                <w:bCs w:val="0"/>
                <w:i w:val="0"/>
                <w:iCs w:val="0"/>
                <w:caps w:val="0"/>
                <w:smallCaps w:val="0"/>
                <w:color w:val="111111"/>
                <w:spacing w:val="8"/>
                <w:sz w:val="21"/>
                <w:szCs w:val="21"/>
              </w:rPr>
              <w:t>号首都医科大学北京天坛医院骨科，邮编</w:t>
            </w:r>
            <w:r>
              <w:rPr>
                <w:rStyle w:val="any"/>
                <w:rFonts w:ascii="Tahoma" w:eastAsia="Tahoma" w:hAnsi="Tahoma" w:cs="Tahoma"/>
                <w:b w:val="0"/>
                <w:bCs w:val="0"/>
                <w:i w:val="0"/>
                <w:iCs w:val="0"/>
                <w:caps w:val="0"/>
                <w:smallCaps w:val="0"/>
                <w:color w:val="111111"/>
                <w:spacing w:val="8"/>
                <w:sz w:val="21"/>
                <w:szCs w:val="21"/>
              </w:rPr>
              <w:t>100070</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Int Orthop</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没有患者数据所有权，主动撤回</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主编撤回了这篇文章，因为作者表示他们对这里报告的患者数据没有所有权。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695" cy="153038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82802" name=""/>
                          <pic:cNvPicPr>
                            <a:picLocks noChangeAspect="1"/>
                          </pic:cNvPicPr>
                        </pic:nvPicPr>
                        <pic:blipFill>
                          <a:blip xmlns:r="http://schemas.openxmlformats.org/officeDocument/2006/relationships" r:embed="rId7"/>
                          <a:stretch>
                            <a:fillRect/>
                          </a:stretch>
                        </pic:blipFill>
                        <pic:spPr>
                          <a:xfrm>
                            <a:off x="0" y="0"/>
                            <a:ext cx="3657695" cy="15303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0415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13128" name=""/>
                          <pic:cNvPicPr>
                            <a:picLocks noChangeAspect="1"/>
                          </pic:cNvPicPr>
                        </pic:nvPicPr>
                        <pic:blipFill>
                          <a:blip xmlns:r="http://schemas.openxmlformats.org/officeDocument/2006/relationships" r:embed="rId8"/>
                          <a:stretch>
                            <a:fillRect/>
                          </a:stretch>
                        </pic:blipFill>
                        <pic:spPr>
                          <a:xfrm>
                            <a:off x="0" y="0"/>
                            <a:ext cx="3655791" cy="2041589"/>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2436"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49561"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18174"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80&amp;idx=1&amp;sn=e06e7881aaaac2459d1f870066d83cff&amp;chksm=c092f6683663cc86a7209e60f8d7cce4b356cafb1ece4d6d2f5cfbd23e003ca1b28d577aa840&amp;scene=126&amp;sessionid=17436985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