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天津医科大学总医院，天津医科大学基础医学院合作研究因数据重叠遭质疑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18:35:19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40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97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2016年4月，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天津医科大学总医院，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Cancer Letters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Reprogramming carcinoma associated fibroblasts by AC1MMYR2 impedes tumor metastasis and improves chemotherapy efficacy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通过 AC1MMYR2 重编程癌相关成纤维细胞可阻止肿瘤转移并提高化疗疗效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这项工作得到了国家高技术研究发展计划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863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2014AA021102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81572492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）和天津市科学技术委员会（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13JCYBJC21600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10.1016/j.canlet.2016.02.003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天津医科大学基础医学院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Yu Ren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天津医科大学基础医学院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Mei Mei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Chun-sheng Kang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（音译：康春生）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5367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404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7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Lepidopteran iteradensovirus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我们阅读了这篇论文，发现其中的数据有意想不到的重叠之处（见下附图）。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9363075" cy="87725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551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6307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010775" cy="81819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2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1077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u w:val="single" w:color="000000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u w:val="single" w:color="000000"/>
        </w:rPr>
        <w:t>Anopheles somalicus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这两个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IP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带在图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中看起来是一样的。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53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99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569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56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https://pubpeer.com/publications/A67B3586FFDAB7856F6111F73494A3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190&amp;idx=1&amp;sn=6def8bb37c9e448559d850d6507a948a&amp;chksm=c020f94e435e9c23b0a5a7747f6041ef538a210d2c9c7ef9da787e2e7c72c966d948cd24e8dd&amp;scene=126&amp;sessionid=17436981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