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国际牙医学院院士、天津医科大学口腔医院副院长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91100" cy="3800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48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https://www.nature.com/articles/s41598-024-69933-z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7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嘉胤，博士，主任医师，博、硕士生导师。现任天津医科大学口腔医学院、口腔医院党委副书记、副院长。现为天津市教学名师，牙周病学科带头人，《牙周病学》课程负责人。国际牙医学院院士、兼任中华口腔医学会牙周病专业委员会委员、天津市口腔医学会常务理事、天津市牙周病专业委员会副主任委员等职。长期从事牙周炎的病因和机制、牙周病与全身系统性疾病的关系、口腔组织缺损的修复及再生机制、再生材料的设计开发与临床转化方面的研究，先后主持和参与国家自然科学基金、天津市自然科学基金、国家重点研发计划项目等各类科研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余项。在国内外刊物上发表学术论文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余篇，获实用新型专利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项，获天津市科技进步奖二等奖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项。作为主编出版教材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部，获得省部级教学成果奖一等奖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项。擅长牙周疑难病症诊断与治疗、牙周病多学科综合治疗和设计、牙种植及植体周炎的防治。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https://pubpeer.com/publications/7F3D3509E8789DF31AC8BECA9319A4#1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3&amp;sn=924f205b0676fbeb7db87b2b84f7ce98&amp;chksm=c3dc34701057ab7e77149c5db05288936de9f01ec2d982fe4156b42f6f41145127db782cd178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