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不同实验条件的图像面板重叠且无原始数据，哈尔滨医科大学附属第一医院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16:35:21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International Medical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图5a中的α-SMA模型面板与图5c中的TGF-β1氯沙坦面板看起来极为相似。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271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67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9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2016B017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）、黑龙江省医学科学研究基金（编号：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LH2019H081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 B012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α-SMA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模型面板看起来与图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5c TGF-β1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氯沙坦面板非常相似。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7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在进行内部审查时，总编辑注意到本文中的图片存在问题，具体为：图5a中的α-SMA模型面板与图5c中的TGF-β1氯沙坦面板看起来极为相似。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由于原始图片的真实性存疑，导致研究结果的有效性也备受质疑，因此总编辑决定撤回本文。X.L.不同意撤回决定。其他所有作者在接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https://journals.sagepub.com/doi/10.1177/03000605251330127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5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3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66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55&amp;idx=1&amp;sn=57204b47030aaad3d9128cc25f5d6c99&amp;chksm=c2ee6f7d2509f1b11254a7539b4762244b964ac70ae146857360087df76f57da1ca1b490a2c1&amp;scene=126&amp;sessionid=17437589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