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9288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50460"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1473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52725"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1913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48723"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5853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3218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5206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a8fa57508a9f15929b7a1f8625e0c1dc6aa91a89f5b87722d57b3a791f366f5c30192fedf3&amp;scene=126&amp;sessionid=17436118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