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408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82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52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500bbdd9bf6974d9e080e6ba4767d9c2636b2db24ab3c508aebb599ae9a4e74c971be1f9ec&amp;scene=126&amp;sessionid=17436117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