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34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4a5e52af75e610b8f8b147ecf5e76ce7b06551ac6092dd165fcdb4f54c791cbb26cf5ad467&amp;scene=126&amp;sessionid=17436126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