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同济大学附属第十人民医院泌尿外科，上海交通大学医学院附属仁济医院合作论文图片被指大面积雷同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47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72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同济大学附属第十人民医院泌尿外科，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上海交通大学医学院附属仁济医院泌尿外科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Experimental &amp; Molecular Medicine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piRNA-1742 promotes renal cell carcinoma malignancy by regulating USP8 stability through binding to hnRNPU and thereby inhibiting MUC12 ubiquitination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piRNA-1742 通过与 hnRNPU 结合调节 USP8 的稳定性，进而抑制 MUC12 泛素化，从而促进肾细胞癌的恶性发展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81602469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）、中央高校基本科研业务费（批准号：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2016KJ045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）、上海市浦江人才计划（批准号：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20PJ1412400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）和上海市自然科学基金一般项目（批准号：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20ZR1443000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）、上海市科学技术委员会实验动物基金（批准号：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22140903800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）和上海市卫生委员会临床专项（批准号：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202040179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10.1038/s12276-023-01010-3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Wentao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（音译：彭波），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（音译：姚旭东），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上海交通大学医学院附属仁济医院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Junhua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（音译：郑军华）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437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33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Chrysochromulina throndsenii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另一篇文章中的重复图片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076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309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0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4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https://pubpeer.com/publications/130DCDADFFD91947CA357A30DA63F5#0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1&amp;sn=826ca9fe8849ade9429a78d0c007726b&amp;chksm=c0b598d63414a56edff4e56204d17bf8418bfb4ff9e2bc3c2e79c52fc4b128bb627e23d2c99f&amp;scene=126&amp;sessionid=1743611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