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第三方参与？山东大学齐鲁医院骨科专家论文被质疑图片与他人雷同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54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Drug Design, Development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Resveratrol Protects Osteoblasts Against Dexamethasone-Induced Cytotoxicity Through Activation of AMP-Activated Protein Kinase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白藜芦醇通过激活 AMP 激活蛋白激酶保护成骨细胞免受地塞米松诱导的细胞毒性损伤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这项工作得到了济南市科技计划项目（资助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201805042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）和临沂市科技创新发展计划项目（资助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201919058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Yunzhen Chen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9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这篇论文中的两幅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FACS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图似乎与另一篇论文中的相同，但我没有看到共同的作者或所属单位。值得关注的是，后一篇论文中的图谱分辨率比前一篇论文中的高，这表明可能有共同的第三方参与其中。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2020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Oncology Letters (2018)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10.3892/ol.2018.8486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19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8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2&amp;sn=0c61f3b69bcf1a0b3a3a206a4f6b872b&amp;chksm=c0f167c9b7a05a1d1c4d4046fbb45b9b69c7b069c18c149ed8b3eec61b5573ec2a8e07c5bf77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