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65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9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20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47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19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79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8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0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4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5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8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7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7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51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15bc034963475828177a5d0ca191dcf55b3db4b17d8be4a8cf34bbc87398cd870ecd4857ce&amp;scene=126&amp;sessionid=17436129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