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丽水市中心医院党委书记纪建松、副院长徐民团队的论文因多图雷同被撤，作者反对撤稿！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学术荟萃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2025-04-02 21:00:00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Part.1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90405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论文简介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标题：</w:t>
      </w:r>
      <w:r>
        <w:rPr>
          <w:rStyle w:val="any"/>
          <w:rFonts w:ascii="Times New Roman" w:eastAsia="Times New Roman" w:hAnsi="Times New Roman" w:cs="Times New Roman"/>
          <w:b/>
          <w:bCs/>
          <w:color w:val="FF4C00"/>
          <w:spacing w:val="8"/>
          <w:sz w:val="21"/>
          <w:szCs w:val="21"/>
        </w:rPr>
        <w:t>ZFP36 Binds With PRC1 to Inhibit Tumor Growth and Increase 5-Fu Chemosensitivity of Hepatocellular Carcinoma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2020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7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14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单位与作者：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丽水市中心医院（温州医科大学附属第五医院）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Weiqian Chen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Minjiang Chen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Zhongwei Zhao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Min Xu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徐民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Jiansong Ji(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纪建松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)</w:t>
      </w: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1"/>
          <w:szCs w:val="21"/>
        </w:rPr>
        <w:t>期刊：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9"/>
          <w:sz w:val="21"/>
          <w:szCs w:val="21"/>
        </w:rPr>
        <w:t>Frontiers in Molecular Biosciences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505450" cy="4753098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6703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4753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Part.2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35263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图像重复问题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#1 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8D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与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Cai et al 2019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doi:10.1158/1535-7163.MCT-18-0945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）的图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6D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图像重复。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shd w:val="clear" w:color="auto" w:fill="FFFFFF"/>
        <w:spacing w:before="0" w:after="0" w:line="384" w:lineRule="atLeast"/>
        <w:ind w:left="300" w:right="405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1B1B1B"/>
          <w:spacing w:val="8"/>
          <w:u w:val="none"/>
        </w:rPr>
        <w:drawing>
          <wp:inline>
            <wp:extent cx="5486400" cy="1157681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49563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157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384" w:lineRule="atLeast"/>
        <w:ind w:left="300" w:right="405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8"/>
        </w:rPr>
      </w:pPr>
    </w:p>
    <w:p>
      <w:pPr>
        <w:shd w:val="clear" w:color="auto" w:fill="FFFFFF"/>
        <w:spacing w:before="0" w:after="0" w:line="384" w:lineRule="atLeast"/>
        <w:ind w:left="300" w:right="405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405" w:firstLine="0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9"/>
        </w:rPr>
      </w:pPr>
    </w:p>
    <w:p>
      <w:pPr>
        <w:shd w:val="clear" w:color="auto" w:fill="FFFFFF"/>
        <w:spacing w:after="0" w:line="336" w:lineRule="atLeast"/>
        <w:ind w:left="300" w:right="405"/>
        <w:jc w:val="both"/>
        <w:rPr>
          <w:rStyle w:val="any"/>
          <w:rFonts w:ascii="Microsoft YaHei UI" w:eastAsia="Microsoft YaHei UI" w:hAnsi="Microsoft YaHei UI" w:cs="Microsoft YaHei UI"/>
          <w:b/>
          <w:bCs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1B1B1B"/>
          <w:spacing w:val="8"/>
          <w:sz w:val="21"/>
          <w:szCs w:val="21"/>
        </w:rPr>
        <w:t>#2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1B1B1B"/>
          <w:spacing w:val="8"/>
          <w:sz w:val="21"/>
          <w:szCs w:val="21"/>
        </w:rPr>
        <w:t>图4C、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1B1B1B"/>
          <w:spacing w:val="8"/>
          <w:sz w:val="21"/>
          <w:szCs w:val="21"/>
        </w:rPr>
        <w:t>8C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1B1B1B"/>
          <w:spacing w:val="8"/>
          <w:sz w:val="21"/>
          <w:szCs w:val="21"/>
        </w:rPr>
        <w:t>与Wu et al 2018（doi: 10.1038/s41419-018-1101-0）的图4C、6D图像重复。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420" w:lineRule="atLeast"/>
        <w:ind w:left="300" w:right="405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420" w:lineRule="atLeast"/>
        <w:ind w:left="300" w:right="405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405" w:firstLine="0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1B1B1B"/>
          <w:spacing w:val="9"/>
          <w:sz w:val="20"/>
          <w:szCs w:val="20"/>
          <w:u w:val="none"/>
        </w:rPr>
        <w:drawing>
          <wp:inline>
            <wp:extent cx="5486400" cy="2794218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57167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94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405" w:firstLine="0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9"/>
        </w:rPr>
      </w:pPr>
    </w:p>
    <w:p>
      <w:pPr>
        <w:shd w:val="clear" w:color="auto" w:fill="FFFFFF"/>
        <w:spacing w:after="0" w:line="336" w:lineRule="atLeast"/>
        <w:ind w:left="300" w:right="405"/>
        <w:jc w:val="center"/>
        <w:rPr>
          <w:rStyle w:val="any"/>
          <w:rFonts w:ascii="Microsoft YaHei UI" w:eastAsia="Microsoft YaHei UI" w:hAnsi="Microsoft YaHei UI" w:cs="Microsoft YaHei UI"/>
          <w:b/>
          <w:bCs/>
          <w:color w:val="1B1B1B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trike w:val="0"/>
          <w:color w:val="1B1B1B"/>
          <w:spacing w:val="9"/>
          <w:sz w:val="21"/>
          <w:szCs w:val="21"/>
          <w:u w:val="none"/>
        </w:rPr>
        <w:drawing>
          <wp:inline>
            <wp:extent cx="5486400" cy="188528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53640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line="384" w:lineRule="atLeast"/>
        <w:ind w:left="300" w:right="405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15" w:lineRule="atLeast"/>
        <w:ind w:left="300" w:right="405"/>
        <w:jc w:val="both"/>
        <w:rPr>
          <w:rStyle w:val="any"/>
          <w:rFonts w:ascii="Microsoft YaHei UI" w:eastAsia="Microsoft YaHei UI" w:hAnsi="Microsoft YaHei UI" w:cs="Microsoft YaHei UI"/>
          <w:b/>
          <w:bCs/>
          <w:color w:val="1B1B1B"/>
          <w:spacing w:val="8"/>
          <w:sz w:val="21"/>
          <w:szCs w:val="21"/>
        </w:rPr>
      </w:pPr>
    </w:p>
    <w:p>
      <w:pPr>
        <w:shd w:val="clear" w:color="auto" w:fill="FFFFFF"/>
        <w:spacing w:after="0" w:line="408" w:lineRule="atLeast"/>
        <w:ind w:left="300" w:right="405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1B1B1B"/>
          <w:spacing w:val="9"/>
          <w:sz w:val="26"/>
          <w:szCs w:val="26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50" w:after="0" w:line="288" w:lineRule="atLeast"/>
        <w:ind w:left="360" w:right="465"/>
        <w:jc w:val="both"/>
        <w:rPr>
          <w:rStyle w:val="any"/>
          <w:rFonts w:ascii="Microsoft YaHei UI" w:eastAsia="Microsoft YaHei UI" w:hAnsi="Microsoft YaHei UI" w:cs="Microsoft YaHei UI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FFFFFF"/>
          <w:spacing w:val="8"/>
          <w:sz w:val="18"/>
          <w:szCs w:val="18"/>
          <w:shd w:val="clear" w:color="auto" w:fill="F56C4A"/>
        </w:rPr>
        <w:t>Part.3</w:t>
      </w:r>
    </w:p>
    <w:p>
      <w:pPr>
        <w:shd w:val="clear" w:color="auto" w:fill="FFFFFF"/>
        <w:spacing w:before="0" w:after="0" w:line="240" w:lineRule="atLeast"/>
        <w:ind w:left="300" w:right="405"/>
        <w:jc w:val="left"/>
        <w:rPr>
          <w:rStyle w:val="any"/>
          <w:rFonts w:ascii="Microsoft YaHei UI" w:eastAsia="Microsoft YaHei UI" w:hAnsi="Microsoft YaHei UI" w:cs="Microsoft YaHei UI"/>
          <w:color w:val="1B1B1B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1B1B1B"/>
          <w:spacing w:val="8"/>
          <w:u w:val="none"/>
        </w:rPr>
        <w:drawing>
          <wp:inline>
            <wp:extent cx="951328" cy="951855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693643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405"/>
        <w:jc w:val="center"/>
        <w:rPr>
          <w:rStyle w:val="any"/>
          <w:rFonts w:ascii="Microsoft YaHei UI" w:eastAsia="Microsoft YaHei UI" w:hAnsi="Microsoft YaHei UI" w:cs="Microsoft YaHei UI"/>
          <w:color w:val="1B1B1B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1B1B1B"/>
          <w:spacing w:val="8"/>
          <w:sz w:val="23"/>
          <w:szCs w:val="23"/>
        </w:rPr>
        <w:t>撤稿说明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405"/>
        <w:jc w:val="center"/>
        <w:rPr>
          <w:rStyle w:val="any"/>
          <w:rFonts w:ascii="Microsoft YaHei UI" w:eastAsia="Microsoft YaHei UI" w:hAnsi="Microsoft YaHei UI" w:cs="Microsoft YaHei UI"/>
          <w:color w:val="1B1B1B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384" w:lineRule="atLeast"/>
        <w:ind w:left="300" w:right="405"/>
        <w:jc w:val="center"/>
        <w:rPr>
          <w:rStyle w:val="any"/>
          <w:rFonts w:ascii="Microsoft YaHei UI" w:eastAsia="Microsoft YaHei UI" w:hAnsi="Microsoft YaHei UI" w:cs="Microsoft YaHei UI"/>
          <w:color w:val="1B1B1B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8" w:lineRule="atLeast"/>
        <w:ind w:left="300" w:right="405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8" w:lineRule="atLeast"/>
        <w:ind w:left="300" w:right="405" w:firstLine="420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1B1B1B"/>
          <w:spacing w:val="9"/>
          <w:sz w:val="21"/>
          <w:szCs w:val="21"/>
        </w:rPr>
        <w:t>2025年1月23日撤稿：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1B1B1B"/>
          <w:spacing w:val="9"/>
          <w:sz w:val="21"/>
          <w:szCs w:val="21"/>
        </w:rPr>
        <w:t>本刊撤回上述 2020 年 7 月 14 日的文章。文章发表后，有人对所发表数据中图像的完整性表示担忧。在根据《前沿》政策进行的调查中，作者未能提供令人满意的解释。此次撤稿已获得《前沿》杂志首席执行主编的批准。作者收到了有关撤稿的通知，但不同意撤稿。该函件已被出版商记录在案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8" w:lineRule="atLeast"/>
        <w:ind w:left="300" w:right="405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15" w:lineRule="atLeast"/>
        <w:ind w:left="300" w:right="405"/>
        <w:jc w:val="both"/>
        <w:rPr>
          <w:rStyle w:val="any"/>
          <w:rFonts w:ascii="Microsoft YaHei UI" w:eastAsia="Microsoft YaHei UI" w:hAnsi="Microsoft YaHei UI" w:cs="Microsoft YaHei UI"/>
          <w:b/>
          <w:bCs/>
          <w:color w:val="1B1B1B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15" w:lineRule="atLeast"/>
        <w:ind w:left="300" w:right="405"/>
        <w:jc w:val="both"/>
        <w:rPr>
          <w:rStyle w:val="any"/>
          <w:rFonts w:ascii="Microsoft YaHei UI" w:eastAsia="Microsoft YaHei UI" w:hAnsi="Microsoft YaHei UI" w:cs="Microsoft YaHei UI"/>
          <w:b/>
          <w:bCs/>
          <w:color w:val="1B1B1B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15" w:lineRule="atLeast"/>
        <w:ind w:left="300" w:right="405"/>
        <w:jc w:val="both"/>
        <w:rPr>
          <w:rStyle w:val="any"/>
          <w:rFonts w:ascii="Microsoft YaHei UI" w:eastAsia="Microsoft YaHei UI" w:hAnsi="Microsoft YaHei UI" w:cs="Microsoft YaHei UI"/>
          <w:b/>
          <w:bCs/>
          <w:color w:val="1B1B1B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315" w:lineRule="atLeast"/>
        <w:ind w:left="300" w:right="405"/>
        <w:jc w:val="both"/>
        <w:rPr>
          <w:rStyle w:val="any"/>
          <w:rFonts w:ascii="Microsoft YaHei UI" w:eastAsia="Microsoft YaHei UI" w:hAnsi="Microsoft YaHei UI" w:cs="Microsoft YaHei UI"/>
          <w:b/>
          <w:bCs/>
          <w:color w:val="1B1B1B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both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0"/>
          <w:szCs w:val="20"/>
        </w:rPr>
        <w:t>参考信息：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0"/>
          <w:szCs w:val="20"/>
        </w:rPr>
        <w:br/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0"/>
          <w:szCs w:val="20"/>
          <w:shd w:val="clear" w:color="auto" w:fill="FFFFFF"/>
        </w:rPr>
        <w:t>https://pmc.ncbi.nlm.nih.gov/articles/PMC11799729/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0"/>
          <w:szCs w:val="20"/>
          <w:shd w:val="clear" w:color="auto" w:fill="FFFFFF"/>
        </w:rPr>
        <w:t>https://pubpeer.com/publications/16AFC0120C08B7137EE462C236C0E3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EwMTE3OA==&amp;mid=2247485382&amp;idx=1&amp;sn=9e0388b4ac566ea44d5862576eed3589&amp;chksm=c5eef2cb595408d61a4b7c26e54843ab73b1dce361f4ca43da7d4e12e6766e0891483379f234&amp;scene=126&amp;sessionid=174361293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emf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