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国家基金支持项目疑似图像篡改，河南科技大学符芳芳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李光大团队需澄清病理图片重复问题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15:55:00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11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Improvement of in vitro  osteogenesis and antimicrobial activity of injectable brushite for bone  repair by incorporating with Se-loaded calcium  phosphate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河南科技大学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Zhengjun Pei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Fangfang Fu(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符芳芳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), Guangda Li(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李光大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Ceramics  International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086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69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45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在不同的组别中，病理图片有所重叠。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64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76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20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中国国家自然科学基金（项目编号：21461009和U2004137）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河南省高等教育机构青年骨干教师项目（项目编号：2018GGJS050）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https://pubpeer.com/publications/25141F2320037A8328CC80C2C43D1C#1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https://www.sciencedirect.com/science/article/abs/pii/S0272884220338542?via%3Dihub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82&amp;idx=1&amp;sn=438c9ce87081bdaeca232abed0d044dc&amp;chksm=c5f4f38ca4e3a8e13e07214c783ebe6df69ce692c5d1dee13fde4aa856f34d52d1d713f1af8e&amp;scene=126&amp;sessionid=17436129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