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邮箱不同是外包？郑州大学第一附属医院某主任的论文被质疑！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12:10:12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郑州大学第一附属医院泌尿外科在期刊</w:t>
      </w:r>
      <w:r>
        <w:rPr>
          <w:rStyle w:val="any"/>
          <w:color w:val="000000"/>
          <w:spacing w:val="8"/>
          <w:lang w:val="en-US" w:eastAsia="en-US"/>
        </w:rPr>
        <w:t>International journal of urology : official journal of the Japanese Urological Association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上发表一篇研究论文，研究发现了星形胶质细胞升高的基因</w:t>
      </w:r>
      <w:r>
        <w:rPr>
          <w:rStyle w:val="any"/>
          <w:color w:val="000000"/>
          <w:spacing w:val="8"/>
          <w:lang w:val="en-US" w:eastAsia="en-US"/>
        </w:rPr>
        <w:t>-1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通过激活信号转导子和转录激活子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促进膀胱癌症细胞的侵袭和上皮</w:t>
      </w:r>
      <w:r>
        <w:rPr>
          <w:rStyle w:val="any"/>
          <w:color w:val="000000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间质转化。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Astrocyte elevated gene-1 promotes invasion and epithelial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–</w:t>
      </w:r>
      <w:r>
        <w:rPr>
          <w:rStyle w:val="any"/>
          <w:color w:val="000000"/>
          <w:spacing w:val="8"/>
          <w:lang w:val="en-US" w:eastAsia="en-US"/>
        </w:rPr>
        <w:t>mesenchymal transition in bladder cancer cells through activation of signal transducer and activator of transcription 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Xiaoming Yang , Lei Shi , Chengzhi Yi , Yang Yang , Liansheng Chang , Dongkui Song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（通讯作者，音译，宋东奎）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郑州大学第一附属医院泌尿外科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43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9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中的图像在操作后显示了重叠的视场，如下图所示。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我要注意的是，通讯作者使用的电子邮件地址与此人的姓名没有相似之处，并且与该作者在另一篇论文中的电子邮件地址不同：</w:t>
      </w:r>
      <w:r>
        <w:rPr>
          <w:rStyle w:val="any"/>
          <w:spacing w:val="8"/>
          <w:lang w:val="en-US" w:eastAsia="en-US"/>
        </w:rPr>
        <w:t>CcFFY254123@163.com.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057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369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0196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98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https://pubpeer.org/publications/0B69E72862A2E7E04BA3FD7A269E74#0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19&amp;idx=1&amp;sn=e39cf96e47de61a8b8acb8c712f56fcd&amp;chksm=c15f4d141af66c17a167eb0191ed40b0f3eff1bc286c233913ceefd9c909ae28b436399d7b4d&amp;scene=126&amp;sessionid=17436122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