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撤稿前奏！中国医科大学附属盛京医院口腔颌面外科研究被指图像翻转、拉伸、重叠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10:25:00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‘USP13 serves as a tumor suppressor via the PTEN/AKT pathway in oral squamous cell carcinoma’ USP13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PTEN/AKT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通路发挥口腔鳞癌抑癌作用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doi: 10.2147/cmar.s186829</w:t>
      </w:r>
      <w:r>
        <w:rPr>
          <w:rStyle w:val="any"/>
          <w:rFonts w:ascii="PMingLiU" w:eastAsia="PMingLiU" w:hAnsi="PMingLiU" w:cs="PMingLiU"/>
          <w:spacing w:val="8"/>
        </w:rPr>
        <w:t>）因图像问题引发质疑。该研究由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Zhi Qu , Ran Zhang , Meng Su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Weixian Liu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（通讯作者）共同完成，通讯单位为中国医科大学附属盛京医院口腔颌面外科。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530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"ARHGAP25</w:t>
      </w:r>
      <w:r>
        <w:rPr>
          <w:rStyle w:val="any"/>
          <w:rFonts w:ascii="PMingLiU" w:eastAsia="PMingLiU" w:hAnsi="PMingLiU" w:cs="PMingLiU"/>
          <w:spacing w:val="8"/>
        </w:rPr>
        <w:t>在肺癌细胞中的肿瘤抑制作用</w:t>
      </w:r>
      <w:r>
        <w:rPr>
          <w:rStyle w:val="any"/>
          <w:rFonts w:ascii="Times New Roman" w:eastAsia="Times New Roman" w:hAnsi="Times New Roman" w:cs="Times New Roman"/>
          <w:spacing w:val="8"/>
        </w:rPr>
        <w:t>"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Xu</w:t>
      </w:r>
      <w:r>
        <w:rPr>
          <w:rStyle w:val="any"/>
          <w:rFonts w:ascii="PMingLiU" w:eastAsia="PMingLiU" w:hAnsi="PMingLiU" w:cs="PMingLiU"/>
          <w:spacing w:val="8"/>
        </w:rPr>
        <w:t>等，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3B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78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19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经过水平翻转和轻微重新缩放后，内参带惊人地相似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036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84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S1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</w:t>
      </w:r>
      <w:r>
        <w:rPr>
          <w:rStyle w:val="any"/>
          <w:rFonts w:ascii="PMingLiU" w:eastAsia="PMingLiU" w:hAnsi="PMingLiU" w:cs="PMingLiU"/>
          <w:spacing w:val="8"/>
        </w:rPr>
        <w:t>电针通过抑制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Nogo/NgR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Rho/ROCK</w:t>
      </w:r>
      <w:r>
        <w:rPr>
          <w:rStyle w:val="any"/>
          <w:rFonts w:ascii="PMingLiU" w:eastAsia="PMingLiU" w:hAnsi="PMingLiU" w:cs="PMingLiU"/>
          <w:spacing w:val="8"/>
        </w:rPr>
        <w:t>信号通路促进脊髓损伤大鼠的轴突再生</w:t>
      </w:r>
      <w:r>
        <w:rPr>
          <w:rStyle w:val="any"/>
          <w:rFonts w:ascii="Times New Roman" w:eastAsia="Times New Roman" w:hAnsi="Times New Roman" w:cs="Times New Roman"/>
          <w:spacing w:val="8"/>
        </w:rPr>
        <w:t>"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Xiao</w:t>
      </w:r>
      <w:r>
        <w:rPr>
          <w:rStyle w:val="any"/>
          <w:rFonts w:ascii="PMingLiU" w:eastAsia="PMingLiU" w:hAnsi="PMingLiU" w:cs="PMingLiU"/>
          <w:spacing w:val="8"/>
        </w:rPr>
        <w:t>等，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09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414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进一步补充：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3F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"TRIM65</w:t>
      </w:r>
      <w:r>
        <w:rPr>
          <w:rStyle w:val="any"/>
          <w:rFonts w:ascii="PMingLiU" w:eastAsia="PMingLiU" w:hAnsi="PMingLiU" w:cs="PMingLiU"/>
          <w:spacing w:val="8"/>
        </w:rPr>
        <w:t>是通过</w:t>
      </w:r>
      <w:r>
        <w:rPr>
          <w:rStyle w:val="any"/>
          <w:rFonts w:ascii="Times New Roman" w:eastAsia="Times New Roman" w:hAnsi="Times New Roman" w:cs="Times New Roman"/>
          <w:spacing w:val="8"/>
        </w:rPr>
        <w:t>ERK1/2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Jurkat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Raji</w:t>
      </w:r>
      <w:r>
        <w:rPr>
          <w:rStyle w:val="any"/>
          <w:rFonts w:ascii="PMingLiU" w:eastAsia="PMingLiU" w:hAnsi="PMingLiU" w:cs="PMingLiU"/>
          <w:spacing w:val="8"/>
        </w:rPr>
        <w:t>细胞中发挥潜在的致癌蛋白作用：人类淋巴瘤恶性肿瘤中的治疗靶点</w:t>
      </w:r>
      <w:r>
        <w:rPr>
          <w:rStyle w:val="any"/>
          <w:rFonts w:ascii="Times New Roman" w:eastAsia="Times New Roman" w:hAnsi="Times New Roman" w:cs="Times New Roman"/>
          <w:spacing w:val="8"/>
        </w:rPr>
        <w:t>"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Wang</w:t>
      </w:r>
      <w:r>
        <w:rPr>
          <w:rStyle w:val="any"/>
          <w:rFonts w:ascii="PMingLiU" w:eastAsia="PMingLiU" w:hAnsi="PMingLiU" w:cs="PMingLiU"/>
          <w:spacing w:val="8"/>
        </w:rPr>
        <w:t>等，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为方便起见，水平翻转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89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14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2F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"STK39</w:t>
      </w:r>
      <w:r>
        <w:rPr>
          <w:rStyle w:val="any"/>
          <w:rFonts w:ascii="PMingLiU" w:eastAsia="PMingLiU" w:hAnsi="PMingLiU" w:cs="PMingLiU"/>
          <w:spacing w:val="8"/>
        </w:rPr>
        <w:t>在骨肉瘤中过度表达，调控骨肉瘤细胞侵袭和增殖</w:t>
      </w:r>
      <w:r>
        <w:rPr>
          <w:rStyle w:val="any"/>
          <w:rFonts w:ascii="Times New Roman" w:eastAsia="Times New Roman" w:hAnsi="Times New Roman" w:cs="Times New Roman"/>
          <w:spacing w:val="8"/>
        </w:rPr>
        <w:t>"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Huang</w:t>
      </w:r>
      <w:r>
        <w:rPr>
          <w:rStyle w:val="any"/>
          <w:rFonts w:ascii="PMingLiU" w:eastAsia="PMingLiU" w:hAnsi="PMingLiU" w:cs="PMingLiU"/>
          <w:spacing w:val="8"/>
        </w:rPr>
        <w:t>等，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已撤回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— </w:t>
      </w:r>
      <w:r>
        <w:rPr>
          <w:rStyle w:val="any"/>
          <w:rFonts w:ascii="PMingLiU" w:eastAsia="PMingLiU" w:hAnsi="PMingLiU" w:cs="PMingLiU"/>
          <w:spacing w:val="8"/>
        </w:rPr>
        <w:t>水平翻转并水平拉伸</w:t>
      </w:r>
      <w:r>
        <w:rPr>
          <w:rStyle w:val="any"/>
          <w:rFonts w:ascii="Times New Roman" w:eastAsia="Times New Roman" w:hAnsi="Times New Roman" w:cs="Times New Roman"/>
          <w:spacing w:val="8"/>
        </w:rPr>
        <w:t>125%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2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91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"</w:t>
      </w:r>
      <w:r>
        <w:rPr>
          <w:rStyle w:val="any"/>
          <w:rFonts w:ascii="PMingLiU" w:eastAsia="PMingLiU" w:hAnsi="PMingLiU" w:cs="PMingLiU"/>
          <w:spacing w:val="8"/>
        </w:rPr>
        <w:t>芦荟大黄素通过</w:t>
      </w:r>
      <w:r>
        <w:rPr>
          <w:rStyle w:val="any"/>
          <w:rFonts w:ascii="Times New Roman" w:eastAsia="Times New Roman" w:hAnsi="Times New Roman" w:cs="Times New Roman"/>
          <w:spacing w:val="8"/>
        </w:rPr>
        <w:t>TGF-β1/Smad</w:t>
      </w:r>
      <w:r>
        <w:rPr>
          <w:rStyle w:val="any"/>
          <w:rFonts w:ascii="PMingLiU" w:eastAsia="PMingLiU" w:hAnsi="PMingLiU" w:cs="PMingLiU"/>
          <w:spacing w:val="8"/>
        </w:rPr>
        <w:t>信号通路改善大鼠肾纤维化及</w:t>
      </w:r>
      <w:r>
        <w:rPr>
          <w:rStyle w:val="any"/>
          <w:rFonts w:ascii="Times New Roman" w:eastAsia="Times New Roman" w:hAnsi="Times New Roman" w:cs="Times New Roman"/>
          <w:spacing w:val="8"/>
        </w:rPr>
        <w:t>Smurf 2</w:t>
      </w:r>
      <w:r>
        <w:rPr>
          <w:rStyle w:val="any"/>
          <w:rFonts w:ascii="PMingLiU" w:eastAsia="PMingLiU" w:hAnsi="PMingLiU" w:cs="PMingLiU"/>
          <w:spacing w:val="8"/>
        </w:rPr>
        <w:t>的功能研究</w:t>
      </w:r>
      <w:r>
        <w:rPr>
          <w:rStyle w:val="any"/>
          <w:rFonts w:ascii="Times New Roman" w:eastAsia="Times New Roman" w:hAnsi="Times New Roman" w:cs="Times New Roman"/>
          <w:spacing w:val="8"/>
        </w:rPr>
        <w:t>"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Ma</w:t>
      </w:r>
      <w:r>
        <w:rPr>
          <w:rStyle w:val="any"/>
          <w:rFonts w:ascii="PMingLiU" w:eastAsia="PMingLiU" w:hAnsi="PMingLiU" w:cs="PMingLiU"/>
          <w:spacing w:val="8"/>
        </w:rPr>
        <w:t>等，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年）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4D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15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80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https://pubpeer.com/publications/1EE335DBC5E635537799FB66417CAF#0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中国医科大学附属盛京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中国医科大学附属盛京医院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yNzY3NzY3Nw==&amp;action=getalbum&amp;album_id=3605532385200209922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297&amp;idx=5&amp;sn=c81aa275e5e518a3c32a2d02374cf5fc&amp;chksm=c3ec08f8595aac8a15e3e40941c82ca0d16c0960dd0e3511bbafd2a3cb3bfdf9dde3dabd7528&amp;scene=126&amp;sessionid=174361240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