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患者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万血汗钱，用药处方失误致胚胎不幸夭折！患者颤抖追真相！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11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6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4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64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98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45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30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89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mp/appmsgalbum?__biz=Mzk1NzE0NTE5Mg==&amp;action=getalbum&amp;album_id=377881841418205594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1&amp;sn=d98bdad7518eaaeb298acab03425f372&amp;chksm=c244b673823e505132c106cb723738743e275a7cf34328cd90a39e0a150cf1c5ae8a70a9267b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