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武进人民医院的文章被撤回，主要原因是对文章研究方法的担忧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947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日，武进人民医院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93633"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5056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3244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4&amp;sn=ac2b3d0050a6dbf50e703048ea2e5d40&amp;chksm=cf3a69925c397b6e3c2362024868f8691ad9358d50ff989c5603d03780df134b964e4ca0ed28&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