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中南大学湘雅医院临床药理学系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Neurochem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09:30:06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67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04232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中南大学湘雅医院临床药理学系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Neurochem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Expression Alteration of BC1 RNA and its Interaction with Eukaryotic Translation Initiation Factor eIF4A Post-Status Epilepticus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癫痫状态后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的表达变化及其与真核翻译起始因子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树突异常发芽和突触重塑是颞叶癫痫的重要病理特征。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是一种翻译阻遏物，参与调节树突蛋白合成和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转运，这对树突发育和可塑性至关重要。毛果芸香碱诱导的癫痫模型中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的表达变化尚不清楚。目前尚不清楚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和真核起始因子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）之间的相互作用是否存在于该模型中。本研究旨在探讨癫痫持续状态（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的相互作用。氯化锂和匹罗卡品用于诱导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大鼠模型。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后不同时间点采集全脑或海马组织，通过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和原位杂交检测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的表达模式。通过蛋白质印迹和免疫组织化学分析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蛋白表达水平。通过电泳迁移率变动分析（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相互作用。我们发现，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，海马体中的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水平在水平恢复之前有所下降。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开始上升，在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达到最大水平。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亚区的水平下降。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特异性相互作用。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复合物在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周降至最低水平。我们的结果表明，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呈负相关，其中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可能通过调节树突蛋白合成参与癫痫发生。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湖南省新药药效学与安全性评价重点实验室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&amp;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湖南省药物安全性评价研究中心，长沙，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410331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中南大学湘雅医院心内科，长沙，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中南大学湘雅医院健康管理中心，长沙，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中南大学药物科学学院药理学系，长沙，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410000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Neurochem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DG-3d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H-4w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面板之间的明显重叠表示担忧。提交人没有提供任何澄清。此外，这篇论文的作者身份无法得到证实。因此，总编辑对数据的完整性失去了信心。作者没有回复有关撤回的信件。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207454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8365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46818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5613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46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25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54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454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70&amp;idx=1&amp;sn=e982f7b8d9202a3697de1878e221f2e0&amp;chksm=c0f1a3d8e9d76642d3a21f923d4095e2d677159b8ecd44274ff98e9d379a4b0133b98c57bfa1&amp;scene=126&amp;sessionid=17435245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