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同济大学附属第十人民医院泌尿外科，上海交通大学医学院附属仁济医院合作论文图片被指大面积雷同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2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9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同济大学附属第十人民医院泌尿外科，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上海交通大学医学院附属仁济医院泌尿外科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Experimental &amp; Molecular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piRNA-1742 promotes renal cell carcinoma malignancy by regulating USP8 stability through binding to hnRNPU and thereby inhibiting MUC12 ubiquitination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piRNA-1742 通过与 hnRNPU 结合调节 USP8 的稳定性，进而抑制 MUC12 泛素化，从而促进肾细胞癌的恶性发展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81602469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2016KJ045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）、上海市浦江人才计划（批准号：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20PJ1412400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）和上海市自然科学基金一般项目（批准号：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20ZR1443000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）、上海市科学技术委员会实验动物基金（批准号：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22140903800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）和上海市卫生委员会临床专项（批准号：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202040179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Wentao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（音译：彭波），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（音译：姚旭东），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上海交通大学医学院附属仁济医院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Junhua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（音译：郑军华）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43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57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Chrysochromulina throndsenii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另一篇文章中的重复图片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38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0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4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1&amp;sn=826ca9fe8849ade9429a78d0c007726b&amp;chksm=c0602d7943f16c55ccfaa65d34b1085f63137606e6bb372ed253d684ed14a6a842a2ceb075dc&amp;scene=126&amp;sessionid=17435739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