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学术诚信遭质疑！北京大学医学部基础医学院国家杰青论文被质疑图片重复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57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861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2015年9月，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Oncotarget期刊上发表一篇标题为“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The transcription factor c-Fos coordinates with histone lysine-specific demethylase 2A to activate the expression of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cyclooxygenase-2”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转录因子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 xml:space="preserve"> c-Fos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与组蛋白赖氨酸特异性去甲基化酶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 xml:space="preserve"> 2A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相互配合，激活环氧化酶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>-2 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15"/>
          <w:sz w:val="26"/>
          <w:szCs w:val="26"/>
        </w:rPr>
        <w:t>的表达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本研究得到了国家重点基础研究发展计划（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2011CB504200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2012CB517500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31070691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81321003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91319302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81071676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81372165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31261140372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；教育部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“111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计划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；北京市自然科学基金（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5142009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10.18632/oncotarget.5474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Shaoli Lu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Yang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Wei-Guo Zhu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（音译：朱卫国）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894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12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Cherokia georgiana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4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96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https://pubpeer.com/publications/56D3E6DE32280313FAB0509C11F30C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3&amp;sn=6fefbba0452b5dbcb7a91c23f53ccfb8&amp;chksm=c0ede349e08d853008ca05c9bf06843f0465e103c4d1724bff736fff81c4e99335c335304a13&amp;scene=126&amp;sessionid=1743524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