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67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72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&amp;chksm=c16de44357002344ec1a438a335fc3d737f9f9f69fef66fbdadf1bcb32d345db0621459d064b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