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筛库发现宁波市北仑区人民医院消化内科论文图片重复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22:09:54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年，一项发表在《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》的研究表明，长链非编码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在胃癌组织中显著下调，其上调表达可有效抑制胃癌细胞的增殖、迁移和侵袭能力，这一过程通过削弱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信号通路实现。这项发现为胃癌的早期诊断及治疗提供了潜在的新靶点。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该研究论文题为：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"Long Noncoding RNA (lncRNA) MIR22HG Suppresses Gastric Cancer Progression through Attenuating NOTCH2 Signaling"</w:t>
      </w:r>
      <w:r>
        <w:rPr>
          <w:rStyle w:val="any"/>
          <w:rFonts w:ascii="PMingLiU" w:eastAsia="PMingLiU" w:hAnsi="PMingLiU" w:cs="PMingLiU"/>
          <w:spacing w:val="8"/>
        </w:rPr>
        <w:t>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Huihui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Yue Wang 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Huihui Li</w:t>
      </w:r>
      <w:r>
        <w:rPr>
          <w:rStyle w:val="any"/>
          <w:rFonts w:ascii="PMingLiU" w:eastAsia="PMingLiU" w:hAnsi="PMingLiU" w:cs="PMingLiU"/>
          <w:spacing w:val="8"/>
        </w:rPr>
        <w:t>（励辉辉），其隶属于中国浙江省宁波市北仑区人民医院消化内科（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Digestive System, Beilun People’s Hospital, Ningbo, Zhejiang, P.R. China</w:t>
      </w:r>
      <w:r>
        <w:rPr>
          <w:rStyle w:val="any"/>
          <w:rFonts w:ascii="PMingLiU" w:eastAsia="PMingLiU" w:hAnsi="PMingLiU" w:cs="PMingLiU"/>
          <w:spacing w:val="8"/>
        </w:rPr>
        <w:t>），电子邮箱为：</w:t>
      </w:r>
      <w:r>
        <w:rPr>
          <w:rStyle w:val="any"/>
          <w:rFonts w:ascii="Times New Roman" w:eastAsia="Times New Roman" w:hAnsi="Times New Roman" w:cs="Times New Roman"/>
          <w:spacing w:val="8"/>
        </w:rPr>
        <w:t>huihuili7@163.com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合作作者</w:t>
      </w:r>
      <w:r>
        <w:rPr>
          <w:rStyle w:val="any"/>
          <w:rFonts w:ascii="Times New Roman" w:eastAsia="Times New Roman" w:hAnsi="Times New Roman" w:cs="Times New Roman"/>
          <w:spacing w:val="8"/>
        </w:rPr>
        <w:t>Yue Wang</w:t>
      </w:r>
      <w:r>
        <w:rPr>
          <w:rStyle w:val="any"/>
          <w:rFonts w:ascii="PMingLiU" w:eastAsia="PMingLiU" w:hAnsi="PMingLiU" w:cs="PMingLiU"/>
          <w:spacing w:val="8"/>
        </w:rPr>
        <w:t>来自美国俄亥俄州赖特州立大学药理与毒理学系（</w:t>
      </w:r>
      <w:r>
        <w:rPr>
          <w:rStyle w:val="any"/>
          <w:rFonts w:ascii="Times New Roman" w:eastAsia="Times New Roman" w:hAnsi="Times New Roman" w:cs="Times New Roman"/>
          <w:spacing w:val="8"/>
        </w:rPr>
        <w:t>Department of Pharmacology and Toxicology, Wright State University, Fairborn, OH, U.S.A.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该研究的资金来源为</w:t>
      </w:r>
      <w:r>
        <w:rPr>
          <w:rStyle w:val="any"/>
          <w:rFonts w:ascii="Times New Roman" w:eastAsia="Times New Roman" w:hAnsi="Times New Roman" w:cs="Times New Roman"/>
          <w:spacing w:val="8"/>
        </w:rPr>
        <w:t>“Departmental sources</w:t>
      </w:r>
      <w:r>
        <w:rPr>
          <w:rStyle w:val="any"/>
          <w:rFonts w:ascii="PMingLiU" w:eastAsia="PMingLiU" w:hAnsi="PMingLiU" w:cs="PMingLiU"/>
          <w:spacing w:val="8"/>
        </w:rPr>
        <w:t>（科室自筹经费）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，并未列明具体的基金编号。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研究团队对</w:t>
      </w:r>
      <w:r>
        <w:rPr>
          <w:rStyle w:val="any"/>
          <w:rFonts w:ascii="Times New Roman" w:eastAsia="Times New Roman" w:hAnsi="Times New Roman" w:cs="Times New Roman"/>
          <w:spacing w:val="8"/>
        </w:rPr>
        <w:t>43</w:t>
      </w:r>
      <w:r>
        <w:rPr>
          <w:rStyle w:val="any"/>
          <w:rFonts w:ascii="PMingLiU" w:eastAsia="PMingLiU" w:hAnsi="PMingLiU" w:cs="PMingLiU"/>
          <w:spacing w:val="8"/>
        </w:rPr>
        <w:t>例胃癌患者组织样本及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例相邻非肿瘤组织样本进行了分析，同时对人胃黏膜正常细胞系</w:t>
      </w:r>
      <w:r>
        <w:rPr>
          <w:rStyle w:val="any"/>
          <w:rFonts w:ascii="Times New Roman" w:eastAsia="Times New Roman" w:hAnsi="Times New Roman" w:cs="Times New Roman"/>
          <w:spacing w:val="8"/>
        </w:rPr>
        <w:t>GES-1</w:t>
      </w:r>
      <w:r>
        <w:rPr>
          <w:rStyle w:val="any"/>
          <w:rFonts w:ascii="PMingLiU" w:eastAsia="PMingLiU" w:hAnsi="PMingLiU" w:cs="PMingLiU"/>
          <w:spacing w:val="8"/>
        </w:rPr>
        <w:t>与三种胃癌细胞系（</w:t>
      </w:r>
      <w:r>
        <w:rPr>
          <w:rStyle w:val="any"/>
          <w:rFonts w:ascii="Times New Roman" w:eastAsia="Times New Roman" w:hAnsi="Times New Roman" w:cs="Times New Roman"/>
          <w:spacing w:val="8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AGS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）进行了体外实验。结果表明，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的高表达显著降低了胃癌细胞的增殖和侵袭能力，而其下调则加剧了癌细胞的恶性行为。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机制研究显示，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MIR22HG</w:t>
      </w:r>
      <w:r>
        <w:rPr>
          <w:rStyle w:val="any"/>
          <w:rFonts w:ascii="PMingLiU" w:eastAsia="PMingLiU" w:hAnsi="PMingLiU" w:cs="PMingLiU"/>
          <w:spacing w:val="8"/>
        </w:rPr>
        <w:t>可负调控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信号通路中关键因子（如</w:t>
      </w:r>
      <w:r>
        <w:rPr>
          <w:rStyle w:val="any"/>
          <w:rFonts w:ascii="Times New Roman" w:eastAsia="Times New Roman" w:hAnsi="Times New Roman" w:cs="Times New Roman"/>
          <w:spacing w:val="8"/>
        </w:rPr>
        <w:t>HEY1</w:t>
      </w:r>
      <w:r>
        <w:rPr>
          <w:rStyle w:val="any"/>
          <w:rFonts w:ascii="PMingLiU" w:eastAsia="PMingLiU" w:hAnsi="PMingLiU" w:cs="PMingLiU"/>
          <w:spacing w:val="8"/>
        </w:rPr>
        <w:t>和核内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），从而抑制胃癌的进展。该研究进一步使用</w:t>
      </w:r>
      <w:r>
        <w:rPr>
          <w:rStyle w:val="any"/>
          <w:rFonts w:ascii="Times New Roman" w:eastAsia="Times New Roman" w:hAnsi="Times New Roman" w:cs="Times New Roman"/>
          <w:spacing w:val="8"/>
        </w:rPr>
        <w:t>NOTCH2</w:t>
      </w:r>
      <w:r>
        <w:rPr>
          <w:rStyle w:val="any"/>
          <w:rFonts w:ascii="PMingLiU" w:eastAsia="PMingLiU" w:hAnsi="PMingLiU" w:cs="PMingLiU"/>
          <w:spacing w:val="8"/>
        </w:rPr>
        <w:t>抑制剂验证了上述机制。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该成果为开发新的胃癌分子靶向治疗提供了理论依据，也为提高胃癌患者的生存率带来了新的希望。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然而近期通过图片筛库，发现论文中相同的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条带竟然存在被多处重复使用的情况，我们建议作者尽快检查原始数据，若确有问题，应尽早申请勘误，甚至直接撤回涉嫌造假的论文！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86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47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https://pubmed.ncbi.nlm.nih.gov/30670679/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波市北仑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宁波市北仑区人民医院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08&amp;idx=1&amp;sn=8526aff0e63734e1d5e88c6795015c8c&amp;chksm=c090f8679a2cbc96279be48b87d66a1c3e5af20919b3ca85ab27d7f9eaef86601bdbf0997713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314832193341030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