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35236"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47679"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779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618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0915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9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30936"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082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43250"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59437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59607"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19115"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38039"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52912"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76231"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96996"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amp;chksm=c098d7c4612b6ae0c9d56c11792bee7e8a3c5eaca869821de063d1e96d3e97f54a99367a0822&amp;scene=126&amp;sessionid=17435260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