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中科院分区表完整版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07:52:48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79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3月20日，中国科学院文献情报中心正式发布《2025年度期刊分区表》，这一科研界“风向标”的更新瞬间引发学术界高度关注！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本次分区表覆盖SCIE（科学引文索引）、SSCI（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社会科学引文索引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）、A&amp;HCI（艺术与人文引文索引）、ESCI（新兴资源引文索引）和OAJ（开放获取期刊）五大数据库，共纳入21个大类学科（含自然科学、社会科学、人文科学），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期刊总量达21,772本。</w:t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420" w:right="42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占比与期刊数量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1区（顶级期刊）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1451本，占比**6%**，代表各学科金字塔尖的顶尖刊物，论文发表难度最高；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2区（优秀期刊）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2844本，占比**13%**，学术影响力仅次于1区，是高质量成果的主战场；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3区（中等期刊）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4583本，占比**21%**，适合领域内稳健型研究；</w:t>
      </w:r>
    </w:p>
    <w:p>
      <w:pPr>
        <w:spacing w:before="0" w:after="36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区（普通期刊）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12,894本，占比**59%**，覆盖学科基础研究及区域性期刊。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</w:rPr>
        <w:t>TOP期刊与开放获取（OA）趋势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TOP期刊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共1789本，涵盖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大部分1区及部分高影响力2区期刊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，成为科研人员投稿的“黄金目标”；</w:t>
      </w:r>
    </w:p>
    <w:p>
      <w:pPr>
        <w:spacing w:before="0" w:after="24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开放获取（OA）爆发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OA期刊占比达27.35%，较往年增长显著，体现全球学术共享加速推进。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据初步统计，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265本期刊从一区跌至2区；包括医学期刊European Review of Aging and Physical   Activity 在内的15期刊从1区跌至3区,还有1本期刊跌至4区。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其中，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44本医学期刊，10本生物学期刊从一区跌至二区，最让人大跌眼镜的就是nature子刊Nature Protocols，竟也从一区被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跌至二区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……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（人工统计，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信息可能有遗漏或错误，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仅供参考）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欢迎大家评论区广泛讨论吧，科研人，很无奈~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74&amp;idx=1&amp;sn=ce74fb2a935c12ea02ac5c6474ba35d4&amp;chksm=c08b1fcac2bfb6a578e08f6ee6f756410a511440f41740b8c510f412e23678754d964560d394&amp;scene=126&amp;sessionid=1743526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