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上海市第十人民医院泌尿外科副主任论文，小鼠活体荧光图高度重合遭质疑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13:25:29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946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38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同济大学医学院附属普陀人民医院泌尿外科和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同济大学医学院附属上海市第十人民医院泌尿外科的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Jinbo Xie , Jinliang Ni , Huajuan Shi , Keyi Wang , Xiaoying Ma （通讯作者） , Wei Li （通讯作者）, Bo Peng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LncRNA SNHG3 enhances BMI1 mRNA stability by binding and regulating c‐MYC: Implications for the carcinogenic role of SNHG3 in bladder cancer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以下基金资助：国家自然科学基金（项目编号：31670772、81870517、81602469）、上海市自然科学基金（编号：20ZR1443000）、同济大学优秀青年基金（编号：2016KJ045）、浦江人才计划（编号：20PJ1412400），以及普陀区卫生系统科技创新项目（编号：ptkwws201916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54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2025年3月，Cladosporium colombiae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54807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28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480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04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https://pubpeer.com/publications/5719F3F9DED43936DF98A5FAFF8D30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38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13&amp;idx=1&amp;sn=03285c23e66ee38018c5cf9e787c68ee&amp;chksm=c0625d10d29ff36834718ac24fdb4f1cbebd59b245f0096032215ea4c8c9ab0fd0e960ea5356&amp;scene=126&amp;sessionid=17435254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