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39504"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86951"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85620"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8534"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7d54f80af3bf9f785eb61f4e406f16c643dfaf921ad49c5ccb1c2d10f09aca302b452ef29e&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