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国家基金资助，与多篇论文重复，空军军医大学唐都医院曹玮</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2025-03-29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Translational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Jun;9(6):3986-3997.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10.21037/tcr-20-2007.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76800" cy="2181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23255" name=""/>
                    <pic:cNvPicPr>
                      <a:picLocks noChangeAspect="1"/>
                    </pic:cNvPicPr>
                  </pic:nvPicPr>
                  <pic:blipFill>
                    <a:blip xmlns:r="http://schemas.openxmlformats.org/officeDocument/2006/relationships" r:embed="rId6"/>
                    <a:stretch>
                      <a:fillRect/>
                    </a:stretch>
                  </pic:blipFill>
                  <pic:spPr>
                    <a:xfrm>
                      <a:off x="0" y="0"/>
                      <a:ext cx="487680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出乎意料的相似条带。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Down-Regulation of TrkB Alleviates the Malignant Biological Behavior and Cancer Stem-Like Property of Laryngeal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Hu et al 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Interference of circRNA HIPK3 alleviates cardiac dysfunction in lipopolysaccharide-induced mice models and apoptosis in H9C2 cardiomyocytes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48250" cy="1962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85504" name=""/>
                    <pic:cNvPicPr>
                      <a:picLocks noChangeAspect="1"/>
                    </pic:cNvPicPr>
                  </pic:nvPicPr>
                  <pic:blipFill>
                    <a:blip xmlns:r="http://schemas.openxmlformats.org/officeDocument/2006/relationships" r:embed="rId7"/>
                    <a:stretch>
                      <a:fillRect/>
                    </a:stretch>
                  </pic:blipFill>
                  <pic:spPr>
                    <a:xfrm>
                      <a:off x="0" y="0"/>
                      <a:ext cx="5048250" cy="1962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5h</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MicroRNA -148 alleviates cardiac dysfunction, immune disorders and myocardial apoptosis in myocardial ischemia-reperfusion (MI/R) injury by targeting pyruvate dehydrogenase kinase (PDK4)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Yin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57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90662" name=""/>
                    <pic:cNvPicPr>
                      <a:picLocks noChangeAspect="1"/>
                    </pic:cNvPicPr>
                  </pic:nvPicPr>
                  <pic:blipFill>
                    <a:blip xmlns:r="http://schemas.openxmlformats.org/officeDocument/2006/relationships" r:embed="rId8"/>
                    <a:stretch>
                      <a:fillRect/>
                    </a:stretch>
                  </pic:blipFill>
                  <pic:spPr>
                    <a:xfrm>
                      <a:off x="0" y="0"/>
                      <a:ext cx="5276850" cy="2857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miR-326 inhibits the cell proliferation and cancer stem cell-like property of cervical cancer in vitro and oncogenesis in vivo via targeting TCF4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95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86299" name=""/>
                    <pic:cNvPicPr>
                      <a:picLocks noChangeAspect="1"/>
                    </pic:cNvPicPr>
                  </pic:nvPicPr>
                  <pic:blipFill>
                    <a:blip xmlns:r="http://schemas.openxmlformats.org/officeDocument/2006/relationships" r:embed="rId9"/>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6573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31185" name=""/>
                    <pic:cNvPicPr>
                      <a:picLocks noChangeAspect="1"/>
                    </pic:cNvPicPr>
                  </pic:nvPicPr>
                  <pic:blipFill>
                    <a:blip xmlns:r="http://schemas.openxmlformats.org/officeDocument/2006/relationships" r:embed="rId10"/>
                    <a:stretch>
                      <a:fillRect/>
                    </a:stretch>
                  </pic:blipFill>
                  <pic:spPr>
                    <a:xfrm>
                      <a:off x="0" y="0"/>
                      <a:ext cx="5276850" cy="165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https://pubmed.ncbi.nlm.nih.gov/33569426/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https://pubmed.ncbi.nlm.nih.gov/32547080/[</w:t>
      </w:r>
      <w:r>
        <w:rPr>
          <w:rStyle w:val="any"/>
          <w:rFonts w:ascii="PMingLiU" w:eastAsia="PMingLiU" w:hAnsi="PMingLiU" w:cs="PMingLiU"/>
          <w:spacing w:val="8"/>
        </w:rPr>
        <w:t>收回</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14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60727" name=""/>
                    <pic:cNvPicPr>
                      <a:picLocks noChangeAspect="1"/>
                    </pic:cNvPicPr>
                  </pic:nvPicPr>
                  <pic:blipFill>
                    <a:blip xmlns:r="http://schemas.openxmlformats.org/officeDocument/2006/relationships" r:embed="rId11"/>
                    <a:stretch>
                      <a:fillRect/>
                    </a:stretch>
                  </pic:blipFill>
                  <pic:spPr>
                    <a:xfrm>
                      <a:off x="0" y="0"/>
                      <a:ext cx="527685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玮，空军军医大学唐都医院疼痛微创治疗中心，博士、副主任医师、副教授。现任陕西省医学会介入放射学分会委员、陕西省肝病学会肝癌学组委员、陕西省抗癌学会介入学组委员。主攻肝癌的介入性热化疗方面的研究。负责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项，陕西省科技攻关课题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项，参与国家自然科学基金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项、国际合作基金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篇，其中第一作者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篇，中文源期刊</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余篇，其中第一作者</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篇。《中华现代影像学杂志》常务编委，《中华现代临床医学杂志》编委。从事介入放射工作近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年，对血管及非血管性疾病的介入治疗有着比较全面的认识，能够独立诊断和治疗各种常见病和复杂疾病。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https://pubpeer.com/publications/572DE4A6ECFE76314729DD9CAC1DAA#5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6&amp;idx=4&amp;sn=18d3f5fffb7e9a456f834ecfb6fac57b&amp;chksm=c3a6f93480e7f09d5482f0231e7f74c1d8d18b71c0981fd76128843eed3302136c644d009cbc&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