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99769"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5417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00838"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59842"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8852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75045"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91243"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44243"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95790"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18050"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49626"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9667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0068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amp;chksm=c17299025ac68d274d81fa03ccf6a2d52dcaeab791c90b019368433702f6e1741909566eab48&amp;scene=126&amp;sessionid=17434415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